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9D" w:rsidRPr="001D1287" w:rsidRDefault="00092A9D" w:rsidP="00092A9D">
      <w:pPr>
        <w:tabs>
          <w:tab w:val="left" w:pos="6015"/>
        </w:tabs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2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75BBF" wp14:editId="797784C7">
            <wp:extent cx="819150" cy="1152525"/>
            <wp:effectExtent l="0" t="0" r="0" b="0"/>
            <wp:docPr id="11" name="Рисунок 1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9D" w:rsidRPr="001D1287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1D1287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Контрольно-счетная комиссия</w:t>
      </w:r>
    </w:p>
    <w:p w:rsidR="00092A9D" w:rsidRPr="001D1287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1D1287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городского округа город Михайловка</w:t>
      </w:r>
    </w:p>
    <w:p w:rsidR="00092A9D" w:rsidRPr="001D1287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D1287">
        <w:rPr>
          <w:rFonts w:ascii="Times New Roman" w:eastAsia="Calibri" w:hAnsi="Times New Roman" w:cs="Times New Roman"/>
          <w:b/>
          <w:lang w:eastAsia="ar-SA"/>
        </w:rPr>
        <w:t>Волгоградской области</w:t>
      </w:r>
    </w:p>
    <w:p w:rsidR="00092A9D" w:rsidRPr="001D1287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12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ЗАКЛЮЧЕНИЕ</w:t>
      </w:r>
    </w:p>
    <w:p w:rsidR="00092A9D" w:rsidRPr="001D1287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2A9D" w:rsidRPr="00D25321" w:rsidRDefault="00C92089" w:rsidP="00092A9D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№ </w:t>
      </w:r>
      <w:r w:rsidR="00EE3563">
        <w:rPr>
          <w:rFonts w:ascii="Times New Roman" w:eastAsia="Calibri" w:hAnsi="Times New Roman" w:cs="Calibri"/>
          <w:sz w:val="24"/>
          <w:szCs w:val="24"/>
          <w:lang w:eastAsia="ar-SA"/>
        </w:rPr>
        <w:t>12</w:t>
      </w:r>
      <w:r w:rsidR="005740F6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- 28</w:t>
      </w:r>
      <w:r w:rsidR="003A15A6">
        <w:rPr>
          <w:rFonts w:ascii="Times New Roman" w:eastAsia="Calibri" w:hAnsi="Times New Roman" w:cs="Calibri"/>
          <w:sz w:val="24"/>
          <w:szCs w:val="24"/>
          <w:lang w:eastAsia="ar-SA"/>
        </w:rPr>
        <w:t>/04/2018</w:t>
      </w:r>
      <w:bookmarkStart w:id="0" w:name="_GoBack"/>
      <w:bookmarkEnd w:id="0"/>
      <w:r w:rsidR="00092A9D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</w:t>
      </w:r>
      <w:r w:rsidR="00092A9D"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</w:p>
    <w:p w:rsidR="00092A9D" w:rsidRPr="00D25321" w:rsidRDefault="00092A9D" w:rsidP="00092A9D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2A9D" w:rsidRPr="00D25321" w:rsidRDefault="00092A9D" w:rsidP="00092A9D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 проекту решения Михайловской городской Думы «Об исполнении бюджета городского округа город Михайловка </w:t>
      </w:r>
      <w:r w:rsidR="00C7525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Волгоградской области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за 201</w:t>
      </w:r>
      <w:r w:rsidR="00C75251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год».</w:t>
      </w:r>
    </w:p>
    <w:p w:rsidR="00092A9D" w:rsidRPr="00D25321" w:rsidRDefault="00092A9D" w:rsidP="00092A9D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gramStart"/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планом работы контрольно-счетной комиссии городского округа город Михайловка Волгоградской области, утвержденным распоряжением председателя </w:t>
      </w:r>
      <w:r w:rsidR="006467EB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КСК от 29.12.2017 № 29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 в целях подготовки заключения на годовой отчёт об исполнении бюджета за 201</w:t>
      </w:r>
      <w:r w:rsidR="006467EB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7 год, с 18.04.2018 по 30.04.2018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г.,  председателем КСК В.Г. Гудковой, консультантом КСК У.С. </w:t>
      </w:r>
      <w:proofErr w:type="spellStart"/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Антонцевой</w:t>
      </w:r>
      <w:proofErr w:type="spellEnd"/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 консультантом КСК Петровой Ю.П.,  проведена экспертно-аналитическая оценка проекта решения Михайловской городской</w:t>
      </w:r>
      <w:proofErr w:type="gramEnd"/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Думы Волгоградской области  «Об исполнении бюджета городского округа город Михайловка </w:t>
      </w:r>
      <w:r w:rsidR="006467EB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Волгоградской области за 2017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год».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Общие положения 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Бюджетный кодекс Российской Федерации;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Федеральный закон от 06.10.2003 № 131-ФЗ «Об общих принципах организации местного самоуправления в Российской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ab/>
        <w:t>Федерации;</w:t>
      </w:r>
    </w:p>
    <w:p w:rsidR="00092A9D" w:rsidRPr="00D25321" w:rsidRDefault="00092A9D" w:rsidP="00092A9D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25321">
        <w:rPr>
          <w:rFonts w:ascii="Calibri" w:eastAsia="Calibri" w:hAnsi="Calibri" w:cs="Calibri"/>
          <w:lang w:eastAsia="ar-SA"/>
        </w:rPr>
        <w:t xml:space="preserve">              </w:t>
      </w:r>
      <w:r w:rsidRPr="00D25321">
        <w:rPr>
          <w:rFonts w:ascii="Times New Roman" w:eastAsia="Calibri" w:hAnsi="Times New Roman" w:cs="Times New Roman"/>
          <w:lang w:eastAsia="ar-SA"/>
        </w:rPr>
        <w:t>Устав городского округа город Михайловка;</w:t>
      </w:r>
    </w:p>
    <w:p w:rsidR="00092A9D" w:rsidRPr="00D25321" w:rsidRDefault="00092A9D" w:rsidP="00092A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Calibri" w:eastAsia="Calibri" w:hAnsi="Calibri" w:cs="Calibri"/>
          <w:lang w:eastAsia="ar-SA"/>
        </w:rPr>
        <w:t xml:space="preserve">              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образований»;</w:t>
      </w:r>
    </w:p>
    <w:p w:rsidR="00092A9D" w:rsidRPr="00D25321" w:rsidRDefault="00092A9D" w:rsidP="00092A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Положение о контрольно-счетной комиссии городского округа город Михайловка, утвержденное решением Михайловской городской Думы от 28.12.2009 года № 482;</w:t>
      </w:r>
    </w:p>
    <w:p w:rsidR="00092A9D" w:rsidRPr="00D25321" w:rsidRDefault="00092A9D" w:rsidP="00092A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Положение о бюджетном процессе в городском округе город Михайловка, утвержденное решением Михайловской городской Думы от 31.03.2014 года № 867;</w:t>
      </w:r>
    </w:p>
    <w:p w:rsidR="00092A9D" w:rsidRPr="00D25321" w:rsidRDefault="006467EB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План КСК на 2018</w:t>
      </w:r>
      <w:r w:rsidR="00092A9D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год, утвержденный распоряжением председателя контрольн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о-счетной комиссии от 29.12.2017 № 29</w:t>
      </w:r>
      <w:r w:rsidR="00092A9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Цель проверки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Установление соответствия отчета об исполнении бюджета городского округа город Михайловка положениям нормативных правовых актов по бюджетному процессу, в том числе Бюджетному кодексу Российской Федерации, решениям Михайловской городской Думы, иным муниципальным правовым актам.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Установление полноты и достоверности отчета об исполнении бюджета городского округа город Михайловка за 201</w:t>
      </w:r>
      <w:r w:rsidR="006467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Объект проверки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Отчет об исполнении бюджета городского округа город Михайловка за 201</w:t>
      </w:r>
      <w:r w:rsidR="006467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       При подготовке заключения использованы материалы экспертно-аналитических и контрольных мероприятий, проведенных контрольно-счетной комиссией в 201</w:t>
      </w:r>
      <w:r w:rsidR="006467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и текущем периоде 201</w:t>
      </w:r>
      <w:r w:rsidR="006467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>Соответствие отче</w:t>
      </w:r>
      <w:r w:rsidR="006467EB"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>та об исполнении бюджета за 2017</w:t>
      </w: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год Бюджетному кодексу Российской Федерации и Положению о бюджетном процессе.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В соответствии со ст.264.4 БК РФ и п.3 ст. 52  положения о бюджетном процессе, отчет об исполнении бюджета городского округа город Михайловка за 201</w:t>
      </w:r>
      <w:r w:rsidR="006467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представлен Администрацией в Михайловскую городскую Думу </w:t>
      </w:r>
      <w:r w:rsidR="006467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установленный срок </w:t>
      </w:r>
      <w:r w:rsidR="0041069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29</w:t>
      </w:r>
      <w:r w:rsidR="006467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.03.2018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года.</w:t>
      </w:r>
    </w:p>
    <w:p w:rsidR="00092A9D" w:rsidRPr="00D25321" w:rsidRDefault="00092A9D" w:rsidP="00092A9D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Ежеквартальные сведения о ходе исполнения местного  бюджета и о численности муниципальных служащих, работниках муниципальных учреждений с указанием фактических затрат на их денежное содержание опубликованы в </w:t>
      </w:r>
      <w:r w:rsidR="00DA49A3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газете «Панорама новостей»: № 18(333) от 05.05.2017 г.,</w:t>
      </w:r>
      <w:r w:rsidR="00531607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«Призыв»</w:t>
      </w:r>
      <w:r w:rsidR="00DA49A3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60</w:t>
      </w:r>
      <w:r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DA49A3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17435) от 28.07.2017 г., </w:t>
      </w:r>
      <w:r w:rsidR="00531607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«Призыв» </w:t>
      </w:r>
      <w:r w:rsidR="00DA49A3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№ 89</w:t>
      </w:r>
      <w:r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DA49A3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17464) от 07</w:t>
      </w:r>
      <w:r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A49A3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DA49A3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092A9D" w:rsidRPr="00D25321" w:rsidRDefault="00092A9D" w:rsidP="00092A9D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Общая характеристика отчета об исполнении бюджета городского </w:t>
      </w:r>
      <w:r w:rsidR="006467EB"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округа город Михайловка за 2017</w:t>
      </w: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год.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  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В соответствии с Положением о бюджетном процессе, непосредственное составление бюджетной отчетности городского округа город Михайловка осуществляет комитет по финансам администрации городского  округа город Михайловка.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Проект Решения об исполнении бюджета городского округа представлен на рассмотрение в Михайловскую городскую Думу в следующих параметрах</w:t>
      </w:r>
      <w:r w:rsidRPr="00D25321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тыс. руб.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1082"/>
        <w:gridCol w:w="1044"/>
        <w:gridCol w:w="851"/>
        <w:gridCol w:w="1134"/>
        <w:gridCol w:w="992"/>
      </w:tblGrid>
      <w:tr w:rsidR="00092A9D" w:rsidRPr="00D25321" w:rsidTr="00092A9D">
        <w:trPr>
          <w:cantSplit/>
          <w:trHeight w:hRule="exact" w:val="5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2532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D25321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на 201</w:t>
            </w:r>
            <w:r w:rsidR="006467EB"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D25321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исполнение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 к первоначальным плановым показателям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D25321" w:rsidRDefault="00092A9D" w:rsidP="0016634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Отклонение к </w:t>
            </w:r>
            <w:r w:rsidR="001663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Показателям, утвержденным Решением </w:t>
            </w:r>
            <w:proofErr w:type="spellStart"/>
            <w:r w:rsidR="001663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МгД</w:t>
            </w:r>
            <w:proofErr w:type="spellEnd"/>
          </w:p>
        </w:tc>
      </w:tr>
      <w:tr w:rsidR="00092A9D" w:rsidRPr="00D25321" w:rsidTr="00092A9D">
        <w:trPr>
          <w:cantSplit/>
          <w:trHeight w:hRule="exact" w:val="44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Первоначальные плановые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166347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Показатели, утвержденные Решением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МгД</w:t>
            </w:r>
            <w:proofErr w:type="spellEnd"/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D25321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92A9D" w:rsidRPr="00D25321" w:rsidTr="00092A9D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D25321" w:rsidRDefault="00092A9D" w:rsidP="00092A9D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Абсолютное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Относительное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Абсолютное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Относительное</w:t>
            </w:r>
          </w:p>
        </w:tc>
      </w:tr>
      <w:tr w:rsidR="00092A9D" w:rsidRPr="00D25321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Общий объем доходов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BE6DC7" w:rsidP="00BE6DC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hAnsi="Times New Roman"/>
                <w:sz w:val="20"/>
                <w:szCs w:val="20"/>
              </w:rPr>
              <w:t>1183246</w:t>
            </w:r>
            <w:r w:rsidR="00092A9D" w:rsidRPr="00D25321">
              <w:rPr>
                <w:rFonts w:ascii="Times New Roman" w:hAnsi="Times New Roman"/>
                <w:sz w:val="20"/>
                <w:szCs w:val="20"/>
              </w:rPr>
              <w:t>,</w:t>
            </w:r>
            <w:r w:rsidRPr="00D253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1462814,6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2F40B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1490330,3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307083,9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2F40BE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2F40BE"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2F40B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+27515,7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101,9</w:t>
            </w:r>
          </w:p>
        </w:tc>
      </w:tr>
      <w:tr w:rsidR="00092A9D" w:rsidRPr="00D25321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Общий объем расходов          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BE6DC7" w:rsidP="00BE6DC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hAnsi="Times New Roman"/>
                <w:sz w:val="20"/>
                <w:szCs w:val="20"/>
              </w:rPr>
              <w:t>1183246</w:t>
            </w:r>
            <w:r w:rsidR="00092A9D" w:rsidRPr="00D25321">
              <w:rPr>
                <w:rFonts w:ascii="Times New Roman" w:hAnsi="Times New Roman"/>
                <w:sz w:val="20"/>
                <w:szCs w:val="20"/>
              </w:rPr>
              <w:t>,</w:t>
            </w:r>
            <w:r w:rsidRPr="00D253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1504999,9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1511504</w:t>
            </w:r>
            <w:r w:rsidR="00092A9D"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328257,7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2F40B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+6504</w:t>
            </w:r>
            <w:r w:rsidR="00092A9D"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</w:tr>
      <w:tr w:rsidR="00092A9D" w:rsidRPr="00D25321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Дефицит,</w:t>
            </w:r>
          </w:p>
          <w:p w:rsidR="00092A9D" w:rsidRPr="00D25321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Профицит</w:t>
            </w:r>
            <w:proofErr w:type="gramStart"/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(-)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42185,3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21173,8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21173,8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D25321" w:rsidRDefault="00092A9D" w:rsidP="002F40B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F40BE"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21011,5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D25321" w:rsidRDefault="002F40BE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-49,8</w:t>
            </w:r>
          </w:p>
        </w:tc>
      </w:tr>
    </w:tbl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тыс. руб.                       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355"/>
        <w:gridCol w:w="1453"/>
        <w:gridCol w:w="1524"/>
        <w:gridCol w:w="1672"/>
        <w:gridCol w:w="1491"/>
      </w:tblGrid>
      <w:tr w:rsidR="00092A9D" w:rsidRPr="00D25321" w:rsidTr="00092A9D">
        <w:tc>
          <w:tcPr>
            <w:tcW w:w="1985" w:type="dxa"/>
            <w:shd w:val="clear" w:color="auto" w:fill="auto"/>
          </w:tcPr>
          <w:p w:rsidR="00092A9D" w:rsidRPr="00D25321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092A9D" w:rsidRPr="00D25321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План на 201</w:t>
            </w:r>
            <w:r w:rsidR="00BE6DC7"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7</w:t>
            </w: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441" w:type="dxa"/>
            <w:shd w:val="clear" w:color="auto" w:fill="auto"/>
          </w:tcPr>
          <w:p w:rsidR="00092A9D" w:rsidRPr="00D25321" w:rsidRDefault="00166347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Показатели, утвержденные Решением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МгД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092A9D" w:rsidRPr="00D25321" w:rsidRDefault="00BE6DC7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Исполнение бюджета за 2017</w:t>
            </w:r>
            <w:r w:rsidR="00092A9D"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год</w:t>
            </w:r>
          </w:p>
          <w:p w:rsidR="00092A9D" w:rsidRPr="00D25321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shd w:val="clear" w:color="auto" w:fill="auto"/>
          </w:tcPr>
          <w:p w:rsidR="00092A9D" w:rsidRPr="00D25321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% исполнения первоначального плана</w:t>
            </w:r>
          </w:p>
        </w:tc>
        <w:tc>
          <w:tcPr>
            <w:tcW w:w="1296" w:type="dxa"/>
            <w:shd w:val="clear" w:color="auto" w:fill="auto"/>
          </w:tcPr>
          <w:p w:rsidR="00092A9D" w:rsidRPr="00D25321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% исполнения к </w:t>
            </w:r>
            <w:r w:rsidR="00A05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Показателям, утвержденным Решением </w:t>
            </w:r>
            <w:proofErr w:type="spellStart"/>
            <w:r w:rsidR="00A05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МгД</w:t>
            </w:r>
            <w:proofErr w:type="spellEnd"/>
          </w:p>
        </w:tc>
      </w:tr>
      <w:tr w:rsidR="00092A9D" w:rsidRPr="00D25321" w:rsidTr="00092A9D">
        <w:tc>
          <w:tcPr>
            <w:tcW w:w="1985" w:type="dxa"/>
            <w:shd w:val="clear" w:color="auto" w:fill="auto"/>
          </w:tcPr>
          <w:p w:rsidR="00092A9D" w:rsidRPr="00D25321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Доходы бюджета</w:t>
            </w:r>
          </w:p>
        </w:tc>
        <w:tc>
          <w:tcPr>
            <w:tcW w:w="1417" w:type="dxa"/>
            <w:shd w:val="clear" w:color="auto" w:fill="auto"/>
          </w:tcPr>
          <w:p w:rsidR="00092A9D" w:rsidRPr="00D25321" w:rsidRDefault="00BE6DC7" w:rsidP="00BE6DC7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hAnsi="Times New Roman"/>
                <w:sz w:val="20"/>
                <w:szCs w:val="20"/>
              </w:rPr>
              <w:t>1183246</w:t>
            </w:r>
            <w:r w:rsidR="00092A9D" w:rsidRPr="00D25321">
              <w:rPr>
                <w:rFonts w:ascii="Times New Roman" w:hAnsi="Times New Roman"/>
                <w:sz w:val="20"/>
                <w:szCs w:val="20"/>
              </w:rPr>
              <w:t>,</w:t>
            </w:r>
            <w:r w:rsidRPr="00D253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1462814,6</w:t>
            </w:r>
          </w:p>
        </w:tc>
        <w:tc>
          <w:tcPr>
            <w:tcW w:w="1582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1490330,3</w:t>
            </w:r>
          </w:p>
        </w:tc>
        <w:tc>
          <w:tcPr>
            <w:tcW w:w="1672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126,0</w:t>
            </w:r>
          </w:p>
        </w:tc>
        <w:tc>
          <w:tcPr>
            <w:tcW w:w="1296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101,9</w:t>
            </w:r>
          </w:p>
        </w:tc>
      </w:tr>
      <w:tr w:rsidR="00092A9D" w:rsidRPr="00D25321" w:rsidTr="00092A9D">
        <w:tc>
          <w:tcPr>
            <w:tcW w:w="1985" w:type="dxa"/>
            <w:shd w:val="clear" w:color="auto" w:fill="auto"/>
          </w:tcPr>
          <w:p w:rsidR="00092A9D" w:rsidRPr="00D25321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- в т. ч. </w:t>
            </w:r>
          </w:p>
          <w:p w:rsidR="00092A9D" w:rsidRPr="00D25321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налоговые и неналоговые</w:t>
            </w:r>
          </w:p>
        </w:tc>
        <w:tc>
          <w:tcPr>
            <w:tcW w:w="1417" w:type="dxa"/>
            <w:shd w:val="clear" w:color="auto" w:fill="auto"/>
          </w:tcPr>
          <w:p w:rsidR="00092A9D" w:rsidRPr="00D25321" w:rsidRDefault="00BE6DC7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hAnsi="Times New Roman"/>
                <w:sz w:val="20"/>
                <w:szCs w:val="20"/>
              </w:rPr>
              <w:t>743180</w:t>
            </w:r>
            <w:r w:rsidR="00092A9D" w:rsidRPr="00D2532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41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798583,5</w:t>
            </w:r>
          </w:p>
        </w:tc>
        <w:tc>
          <w:tcPr>
            <w:tcW w:w="1582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773918,0</w:t>
            </w:r>
          </w:p>
        </w:tc>
        <w:tc>
          <w:tcPr>
            <w:tcW w:w="1672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104,1</w:t>
            </w:r>
          </w:p>
        </w:tc>
        <w:tc>
          <w:tcPr>
            <w:tcW w:w="1296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96,9</w:t>
            </w:r>
          </w:p>
        </w:tc>
      </w:tr>
      <w:tr w:rsidR="00092A9D" w:rsidRPr="00D25321" w:rsidTr="00092A9D">
        <w:trPr>
          <w:trHeight w:val="840"/>
        </w:trPr>
        <w:tc>
          <w:tcPr>
            <w:tcW w:w="1985" w:type="dxa"/>
            <w:shd w:val="clear" w:color="auto" w:fill="auto"/>
          </w:tcPr>
          <w:p w:rsidR="00092A9D" w:rsidRPr="00D25321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-в </w:t>
            </w:r>
            <w:proofErr w:type="spellStart"/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т.ч</w:t>
            </w:r>
            <w:proofErr w:type="spellEnd"/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. </w:t>
            </w:r>
          </w:p>
          <w:p w:rsidR="00092A9D" w:rsidRPr="00D25321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092A9D" w:rsidRPr="00D25321" w:rsidRDefault="00BE6DC7" w:rsidP="00BE6DC7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hAnsi="Times New Roman"/>
                <w:sz w:val="20"/>
                <w:szCs w:val="20"/>
              </w:rPr>
              <w:t>440066</w:t>
            </w:r>
            <w:r w:rsidR="00092A9D" w:rsidRPr="00D25321">
              <w:rPr>
                <w:rFonts w:ascii="Times New Roman" w:hAnsi="Times New Roman"/>
                <w:sz w:val="20"/>
                <w:szCs w:val="20"/>
              </w:rPr>
              <w:t>,</w:t>
            </w:r>
            <w:r w:rsidRPr="00D253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664231,1</w:t>
            </w:r>
          </w:p>
        </w:tc>
        <w:tc>
          <w:tcPr>
            <w:tcW w:w="1582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716412</w:t>
            </w:r>
            <w:r w:rsidR="00092A9D"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1672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162,8</w:t>
            </w:r>
          </w:p>
        </w:tc>
        <w:tc>
          <w:tcPr>
            <w:tcW w:w="1296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107,9</w:t>
            </w:r>
          </w:p>
        </w:tc>
      </w:tr>
      <w:tr w:rsidR="00092A9D" w:rsidRPr="00D25321" w:rsidTr="00092A9D">
        <w:tc>
          <w:tcPr>
            <w:tcW w:w="1985" w:type="dxa"/>
            <w:shd w:val="clear" w:color="auto" w:fill="auto"/>
          </w:tcPr>
          <w:p w:rsidR="00092A9D" w:rsidRPr="00D25321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Расходы бюджета</w:t>
            </w:r>
          </w:p>
        </w:tc>
        <w:tc>
          <w:tcPr>
            <w:tcW w:w="1417" w:type="dxa"/>
            <w:shd w:val="clear" w:color="auto" w:fill="auto"/>
          </w:tcPr>
          <w:p w:rsidR="00092A9D" w:rsidRPr="00D25321" w:rsidRDefault="00BE6DC7" w:rsidP="00BE6DC7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hAnsi="Times New Roman"/>
                <w:sz w:val="20"/>
                <w:szCs w:val="20"/>
              </w:rPr>
              <w:t>1183246</w:t>
            </w:r>
            <w:r w:rsidR="00092A9D" w:rsidRPr="00D25321">
              <w:rPr>
                <w:rFonts w:ascii="Times New Roman" w:hAnsi="Times New Roman"/>
                <w:sz w:val="20"/>
                <w:szCs w:val="20"/>
              </w:rPr>
              <w:t>,</w:t>
            </w:r>
            <w:r w:rsidRPr="00D253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1504999,9</w:t>
            </w:r>
          </w:p>
        </w:tc>
        <w:tc>
          <w:tcPr>
            <w:tcW w:w="1582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1511504</w:t>
            </w:r>
            <w:r w:rsidR="00092A9D"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,1</w:t>
            </w:r>
          </w:p>
        </w:tc>
        <w:tc>
          <w:tcPr>
            <w:tcW w:w="1672" w:type="dxa"/>
            <w:shd w:val="clear" w:color="auto" w:fill="auto"/>
          </w:tcPr>
          <w:p w:rsidR="00092A9D" w:rsidRPr="00D25321" w:rsidRDefault="0084717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127,7</w:t>
            </w:r>
          </w:p>
        </w:tc>
        <w:tc>
          <w:tcPr>
            <w:tcW w:w="1296" w:type="dxa"/>
            <w:shd w:val="clear" w:color="auto" w:fill="auto"/>
          </w:tcPr>
          <w:p w:rsidR="00092A9D" w:rsidRPr="00D25321" w:rsidRDefault="0084717A" w:rsidP="00B83A4F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</w:t>
            </w:r>
            <w:r w:rsidR="00B83A4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00,4</w:t>
            </w:r>
          </w:p>
        </w:tc>
      </w:tr>
    </w:tbl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         Бюджет городского округа город Михайловка по доходам за 201</w:t>
      </w:r>
      <w:r w:rsidR="0084717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исполнен в сумме 1</w:t>
      </w:r>
      <w:r w:rsidR="0084717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490330,3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в том числе по налоговым и неналоговым доходам в сумме </w:t>
      </w:r>
      <w:r w:rsidR="0084717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773918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,0 тыс. руб., по безвозмездным поступлениям 7</w:t>
      </w:r>
      <w:r w:rsidR="0084717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16412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,3 тыс. руб. Расходы в 201</w:t>
      </w:r>
      <w:r w:rsidR="0084717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составили 1</w:t>
      </w:r>
      <w:r w:rsidR="0084717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511504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,1 тыс. руб.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Решением Думы </w:t>
      </w:r>
      <w:r w:rsidR="008C6A8E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на 2017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утвержден </w:t>
      </w:r>
      <w:r w:rsidR="008C6A8E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изначально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бездефицитный бюджет. Фактически  бюджет городского округа за 201</w:t>
      </w:r>
      <w:r w:rsidR="008C6A8E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исполнен с дефицитом  в сумме </w:t>
      </w:r>
      <w:r w:rsidR="008C6A8E" w:rsidRPr="00D25321">
        <w:rPr>
          <w:rFonts w:ascii="Times New Roman" w:eastAsia="Calibri" w:hAnsi="Times New Roman" w:cs="Calibri"/>
          <w:sz w:val="24"/>
          <w:szCs w:val="24"/>
          <w:lang w:eastAsia="ar-SA"/>
        </w:rPr>
        <w:t>21173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8C6A8E" w:rsidRPr="00D25321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рублей. Источниками финансирования дефицита бюджета явилось </w:t>
      </w:r>
      <w:r w:rsidR="008C6A8E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изменение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остатков средств на счетах бюджета городского округа</w:t>
      </w:r>
      <w:r w:rsidR="008C6A8E" w:rsidRPr="00D25321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На формирование резервного фонда в бюджете городского округа город Михайловка на 201</w:t>
      </w:r>
      <w:r w:rsidR="00531607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 первоначально предусматривались средства в сумме 500,0 тыс. рублей</w:t>
      </w:r>
      <w:r w:rsidRPr="00D25321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.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Согласно отчету</w:t>
      </w:r>
      <w:r w:rsidRPr="00D25321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 расходовании средств резервного фонда администрации городского округа город Михайловка исполнение составило </w:t>
      </w:r>
      <w:r w:rsidR="008C6A8E" w:rsidRPr="00D25321">
        <w:rPr>
          <w:rFonts w:ascii="Times New Roman" w:eastAsia="Calibri" w:hAnsi="Times New Roman" w:cs="Calibri"/>
          <w:sz w:val="24"/>
          <w:szCs w:val="24"/>
          <w:lang w:eastAsia="ar-SA"/>
        </w:rPr>
        <w:t>292,9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Pr="00D2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Расходы резервного фонда произведены в соответствии с установленными лимитами. Размер резервного фонда соответствует требованиям п.3 ст.81 БК РФ и не  превышает 3 процентов утвержденного решениями Михайловской городской Думы общего объема расходов.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По состоянию на 1 января 201</w:t>
      </w:r>
      <w:r w:rsidR="008C6A8E" w:rsidRPr="00D2532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D2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и на 1 января 201</w:t>
      </w:r>
      <w:r w:rsidR="008C6A8E" w:rsidRPr="00D2532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D2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задолженности по бюджетным кредитам нет.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Бюджетные кредиты из бюджета городского округа город Михайловка в 201</w:t>
      </w:r>
      <w:r w:rsidR="008C6A8E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не выдавались.</w:t>
      </w:r>
    </w:p>
    <w:p w:rsidR="00092A9D" w:rsidRPr="00D25321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Муниципальные гарантии городского округа город Михайловка  в 201</w:t>
      </w:r>
      <w:r w:rsidR="008C6A8E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юридическим лицам не предоставлялись.</w:t>
      </w:r>
    </w:p>
    <w:p w:rsidR="00092A9D" w:rsidRPr="00D25321" w:rsidRDefault="00092A9D" w:rsidP="00F72521">
      <w:pPr>
        <w:autoSpaceDE w:val="0"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>Доходы бюджета.</w:t>
      </w:r>
    </w:p>
    <w:p w:rsidR="00F72521" w:rsidRPr="00D25321" w:rsidRDefault="00F72521" w:rsidP="00F72521">
      <w:pPr>
        <w:autoSpaceDE w:val="0"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D25321" w:rsidRDefault="00F72521" w:rsidP="00F725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Доходы бюджета создают финансовую базу для выполнения органами местного самоуправления возложенных на них функций удовлетворения публичных потребностей. В связи с этим вопросы </w:t>
      </w:r>
      <w:r w:rsidRPr="00D25321">
        <w:rPr>
          <w:rFonts w:ascii="Times New Roman" w:eastAsia="Calibri" w:hAnsi="Times New Roman" w:cs="Times New Roman"/>
          <w:sz w:val="24"/>
          <w:szCs w:val="24"/>
        </w:rPr>
        <w:t>пополнения доходной части местного бюджета за счет повышения налоговых и неналоговых доходов являются одним из основных направлений деятельности органов государственной власти и органов местного самоуправления. Особенно важна эта работа в период финансово-экономического кризиса в России, начавшегося в 2014 году и вызванного снижением цен на нефть и экономическими санкциями стран Запада в отношении России.</w:t>
      </w:r>
    </w:p>
    <w:p w:rsidR="00F72521" w:rsidRPr="00D25321" w:rsidRDefault="00F72521" w:rsidP="00F725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Информация о доходах городского округа город Михайловка Волгоградской о</w:t>
      </w:r>
      <w:r w:rsidR="008C6A8E" w:rsidRPr="00D25321">
        <w:rPr>
          <w:rFonts w:ascii="Times New Roman" w:eastAsia="Calibri" w:hAnsi="Times New Roman" w:cs="Times New Roman"/>
          <w:sz w:val="24"/>
          <w:szCs w:val="24"/>
          <w:lang w:eastAsia="ru-RU"/>
        </w:rPr>
        <w:t>бласти и их темпов роста за 2017</w:t>
      </w:r>
      <w:r w:rsidRPr="00D253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D2532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приведена в приложении № 1.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Calibri" w:eastAsia="Calibri" w:hAnsi="Calibri" w:cs="Calibri"/>
          <w:lang w:eastAsia="ar-SA"/>
        </w:rPr>
        <w:t xml:space="preserve">               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сравнении </w:t>
      </w:r>
      <w:r w:rsidR="006C6B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утвержденных 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плановых назначений с первоначальными параметрами бюджета:  налоговые и неналоговые доходы в</w:t>
      </w:r>
      <w:r w:rsidR="008C6A8E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течение года увеличены на 55403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8C6A8E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5 тыс. руб. (7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,5%), безвозмездные п</w:t>
      </w:r>
      <w:r w:rsidR="008279B7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оступления увеличились на 224094,8 тыс. руб. 50,9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%,</w:t>
      </w:r>
      <w:r w:rsidR="008279B7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расходы увеличились – на 321753,5 тыс. руб. (27,2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%).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В отчетном периоде, при внесении изменений в городской бюджет, дефицит бюджета планировался в сумме </w:t>
      </w:r>
      <w:r w:rsidR="008279B7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42185,3</w:t>
      </w:r>
      <w:r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руб. или  </w:t>
      </w:r>
      <w:r w:rsidR="008279B7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9,0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от  общего годового объема поступлений без учета безвозмездных поступлений и поступлений налоговых и неналоговых доходов по дополнительным нормативам отчислений. Фактическ</w:t>
      </w:r>
      <w:r w:rsidR="008279B7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и дефицит бюджета составил 21173,8 тыс. руб. или 4,9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В течение года в бюджет </w:t>
      </w:r>
      <w:r w:rsidR="008279B7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пять раз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вносились   изменения. Отклонение поступлений по доходам в размере,  превышающем 5% от </w:t>
      </w:r>
      <w:r w:rsidR="001922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утвержденного 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на 201</w:t>
      </w:r>
      <w:r w:rsidR="008279B7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год,  произошло по следующим налогам и платежам: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8279B7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доходы от использования имущества, находящегося в государственной и муниципальной собственности ниже запланированны</w:t>
      </w:r>
      <w:r w:rsidR="00EB45C6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х на 14,1 %, в том числе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</w:t>
      </w:r>
      <w:r w:rsidR="00CB44A8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мельных </w:t>
      </w:r>
      <w:r w:rsidR="00CB44A8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участков исполнены на 84,0% в сумме 73000,0 тыс. руб</w:t>
      </w:r>
      <w:proofErr w:type="gramEnd"/>
      <w:r w:rsidR="00CB44A8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. (-</w:t>
      </w:r>
      <w:proofErr w:type="gramStart"/>
      <w:r w:rsidR="00CB44A8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16,0</w:t>
      </w:r>
      <w:r w:rsidR="006E1DB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% от запланированных)</w:t>
      </w:r>
      <w:r w:rsidR="000C7C94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6E1DB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этом</w:t>
      </w:r>
      <w:r w:rsidR="00EB45C6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C7C94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состоянию на 01.01.2018 года имеется задолженность </w:t>
      </w:r>
      <w:r w:rsidR="00EB45C6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пользование земельными </w:t>
      </w:r>
      <w:r w:rsidR="00344086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участками </w:t>
      </w:r>
      <w:r w:rsidR="000C7C94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сумме </w:t>
      </w:r>
      <w:r w:rsidR="00344086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69700,9 тыс. руб.</w:t>
      </w:r>
      <w:r w:rsidR="00EB0530">
        <w:rPr>
          <w:rFonts w:ascii="Times New Roman" w:eastAsia="Calibri" w:hAnsi="Times New Roman" w:cs="Times New Roman"/>
          <w:sz w:val="24"/>
          <w:szCs w:val="24"/>
          <w:lang w:eastAsia="ar-SA"/>
        </w:rPr>
        <w:t>, что свидетельствует о том, что администрирование данного платежа осуществляется на недостаточном уровне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proofErr w:type="gramEnd"/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-доходы от продажи материальн</w:t>
      </w:r>
      <w:r w:rsidR="006E1DB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ых и нематериальных активов на 44,1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</w:t>
      </w:r>
      <w:r w:rsidR="006E1DB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ниж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 уточненного плана. Объясняется </w:t>
      </w:r>
      <w:r w:rsidR="006E1DB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неисполнени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ем поступлений</w:t>
      </w:r>
      <w:r w:rsidR="00106334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реализации иного имущества, находящегося в собственности городских округов в части реализации основных средств по указанному имуществу</w:t>
      </w:r>
      <w:r w:rsidR="006E1DB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. Имущество, запланированное к реализации в плане приватизации на 2017 год, реализовано не в полном объеме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E1DB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Доходы от реализации имущества, находящегося в государственной</w:t>
      </w:r>
      <w:r w:rsidR="00106334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муниципальной собственн</w:t>
      </w:r>
      <w:r w:rsidR="00E4326C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ости (</w:t>
      </w:r>
      <w:r w:rsidR="00106334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основных средств) исполнены на 5</w:t>
      </w:r>
      <w:r w:rsidR="006A623A">
        <w:rPr>
          <w:rFonts w:ascii="Times New Roman" w:eastAsia="Calibri" w:hAnsi="Times New Roman" w:cs="Times New Roman"/>
          <w:sz w:val="24"/>
          <w:szCs w:val="24"/>
          <w:lang w:eastAsia="ar-SA"/>
        </w:rPr>
        <w:t>6,1</w:t>
      </w:r>
      <w:r w:rsidR="00106334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или в сумме 29</w:t>
      </w:r>
      <w:r w:rsidR="006A623A">
        <w:rPr>
          <w:rFonts w:ascii="Times New Roman" w:eastAsia="Calibri" w:hAnsi="Times New Roman" w:cs="Times New Roman"/>
          <w:sz w:val="24"/>
          <w:szCs w:val="24"/>
          <w:lang w:eastAsia="ar-SA"/>
        </w:rPr>
        <w:t>63,2</w:t>
      </w:r>
      <w:r w:rsidR="00106334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</w:t>
      </w:r>
      <w:r w:rsidR="00E4326C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06334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руб.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За анализируемый период в бюджет городского округа поступило 1</w:t>
      </w:r>
      <w:r w:rsidR="00C27CB7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490330,3 тыс. руб. (101,9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</w:t>
      </w:r>
      <w:r w:rsidR="001922A7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утвержденных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плановых назначений), в том числе: налогов</w:t>
      </w:r>
      <w:r w:rsidR="00C27CB7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ые и неналоговые доходы – 773918,0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(96,9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%), безвозмездные поступления – 7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16412,3 тыс. руб. (107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,9%). В общей  сумме поступивших доходов доля налоговых и не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налоговых платежей составляет  51,9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%, безвозмезд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ных поступлений – 48,1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%, в предыдущем году да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нное соотношение составляло   52,7% и 47,3 % , в 2015 году 51,7 % и 48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,3%  соответственно.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По сравнению с 2016 годом, в 2017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общая сумма доходов  у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меньш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илась на  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42118,2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при этом  налоговы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е и неналоговые доходы уменьш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ились на  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33171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,2 тыс. руб.,  безвозмездные поступления  уменьшились на  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8947,0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Динамика поступлений общей суммы доходов, налоговых и неналоговых доходов в бюджет городского округа город Михайловка за 201</w:t>
      </w:r>
      <w:r w:rsidR="008B2BAA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5-2017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 представлена в следующей таблице: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тыс. руб.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1486"/>
        <w:gridCol w:w="1003"/>
        <w:gridCol w:w="621"/>
        <w:gridCol w:w="1001"/>
        <w:gridCol w:w="622"/>
        <w:gridCol w:w="1018"/>
        <w:gridCol w:w="636"/>
        <w:gridCol w:w="1005"/>
        <w:gridCol w:w="622"/>
        <w:gridCol w:w="923"/>
        <w:gridCol w:w="634"/>
      </w:tblGrid>
      <w:tr w:rsidR="00510D83" w:rsidRPr="00D25321" w:rsidTr="008D5E5A">
        <w:tc>
          <w:tcPr>
            <w:tcW w:w="776" w:type="pct"/>
          </w:tcPr>
          <w:p w:rsidR="00F72521" w:rsidRPr="00D25321" w:rsidRDefault="00F72521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vMerge w:val="restart"/>
          </w:tcPr>
          <w:p w:rsidR="00F72521" w:rsidRPr="00D25321" w:rsidRDefault="008D5E5A" w:rsidP="00F72521">
            <w:pPr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2015</w:t>
            </w:r>
          </w:p>
        </w:tc>
        <w:tc>
          <w:tcPr>
            <w:tcW w:w="324" w:type="pct"/>
            <w:vMerge w:val="restart"/>
            <w:textDirection w:val="btLr"/>
          </w:tcPr>
          <w:p w:rsidR="00F72521" w:rsidRPr="00D25321" w:rsidRDefault="00F72521" w:rsidP="00F72521">
            <w:pPr>
              <w:ind w:left="113" w:right="113"/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структура</w:t>
            </w:r>
          </w:p>
        </w:tc>
        <w:tc>
          <w:tcPr>
            <w:tcW w:w="523" w:type="pct"/>
            <w:vMerge w:val="restart"/>
          </w:tcPr>
          <w:p w:rsidR="00F72521" w:rsidRPr="00D25321" w:rsidRDefault="000508B1" w:rsidP="00F72521">
            <w:pPr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2016</w:t>
            </w:r>
          </w:p>
        </w:tc>
        <w:tc>
          <w:tcPr>
            <w:tcW w:w="325" w:type="pct"/>
            <w:vMerge w:val="restart"/>
            <w:textDirection w:val="btLr"/>
          </w:tcPr>
          <w:p w:rsidR="00F72521" w:rsidRPr="00D25321" w:rsidRDefault="00F72521" w:rsidP="00F72521">
            <w:pPr>
              <w:ind w:left="113" w:right="113"/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структура</w:t>
            </w:r>
          </w:p>
        </w:tc>
        <w:tc>
          <w:tcPr>
            <w:tcW w:w="864" w:type="pct"/>
            <w:gridSpan w:val="2"/>
          </w:tcPr>
          <w:p w:rsidR="00F72521" w:rsidRPr="00D25321" w:rsidRDefault="00F72521" w:rsidP="00F72521">
            <w:pPr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Отклонения</w:t>
            </w:r>
          </w:p>
          <w:p w:rsidR="00F72521" w:rsidRPr="00D25321" w:rsidRDefault="000508B1" w:rsidP="00F72521">
            <w:pPr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к 2015</w:t>
            </w:r>
            <w:r w:rsidR="00F72521" w:rsidRPr="00D25321">
              <w:rPr>
                <w:rFonts w:eastAsia="Calibri"/>
                <w:lang w:eastAsia="ar-SA"/>
              </w:rPr>
              <w:t xml:space="preserve"> году</w:t>
            </w:r>
          </w:p>
        </w:tc>
        <w:tc>
          <w:tcPr>
            <w:tcW w:w="525" w:type="pct"/>
            <w:vMerge w:val="restart"/>
          </w:tcPr>
          <w:p w:rsidR="00F72521" w:rsidRPr="00D25321" w:rsidRDefault="00510D83" w:rsidP="00F72521">
            <w:pPr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325" w:type="pct"/>
            <w:vMerge w:val="restart"/>
            <w:textDirection w:val="btLr"/>
          </w:tcPr>
          <w:p w:rsidR="00F72521" w:rsidRPr="00D25321" w:rsidRDefault="00F72521" w:rsidP="00F72521">
            <w:pPr>
              <w:ind w:left="113" w:right="113"/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структура</w:t>
            </w:r>
          </w:p>
        </w:tc>
        <w:tc>
          <w:tcPr>
            <w:tcW w:w="813" w:type="pct"/>
            <w:gridSpan w:val="2"/>
          </w:tcPr>
          <w:p w:rsidR="00F72521" w:rsidRPr="00D25321" w:rsidRDefault="00F72521" w:rsidP="00F72521">
            <w:pPr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Отклонения</w:t>
            </w:r>
          </w:p>
          <w:p w:rsidR="00F72521" w:rsidRPr="00D25321" w:rsidRDefault="00510D83" w:rsidP="00F72521">
            <w:pPr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к 2016</w:t>
            </w:r>
            <w:r w:rsidR="00F72521" w:rsidRPr="00D25321">
              <w:rPr>
                <w:rFonts w:eastAsia="Calibri"/>
                <w:lang w:eastAsia="ar-SA"/>
              </w:rPr>
              <w:t xml:space="preserve"> году</w:t>
            </w:r>
          </w:p>
        </w:tc>
      </w:tr>
      <w:tr w:rsidR="00510D83" w:rsidRPr="00D25321" w:rsidTr="008D5E5A">
        <w:tc>
          <w:tcPr>
            <w:tcW w:w="776" w:type="pct"/>
          </w:tcPr>
          <w:p w:rsidR="00F72521" w:rsidRPr="00D25321" w:rsidRDefault="00F72521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vMerge/>
          </w:tcPr>
          <w:p w:rsidR="00F72521" w:rsidRPr="00D25321" w:rsidRDefault="00F72521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24" w:type="pct"/>
            <w:vMerge/>
          </w:tcPr>
          <w:p w:rsidR="00F72521" w:rsidRPr="00D25321" w:rsidRDefault="00F72521" w:rsidP="00F72521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23" w:type="pct"/>
            <w:vMerge/>
          </w:tcPr>
          <w:p w:rsidR="00F72521" w:rsidRPr="00D25321" w:rsidRDefault="00F72521" w:rsidP="00F72521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5" w:type="pct"/>
            <w:vMerge/>
          </w:tcPr>
          <w:p w:rsidR="00F72521" w:rsidRPr="00D25321" w:rsidRDefault="00F72521" w:rsidP="00F72521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32" w:type="pct"/>
          </w:tcPr>
          <w:p w:rsidR="00F72521" w:rsidRPr="00D25321" w:rsidRDefault="00F72521" w:rsidP="00F72521">
            <w:pPr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тыс. руб.</w:t>
            </w:r>
          </w:p>
        </w:tc>
        <w:tc>
          <w:tcPr>
            <w:tcW w:w="332" w:type="pct"/>
          </w:tcPr>
          <w:p w:rsidR="00F72521" w:rsidRPr="00D25321" w:rsidRDefault="00F72521" w:rsidP="00F72521">
            <w:pPr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%</w:t>
            </w:r>
          </w:p>
        </w:tc>
        <w:tc>
          <w:tcPr>
            <w:tcW w:w="525" w:type="pct"/>
            <w:vMerge/>
          </w:tcPr>
          <w:p w:rsidR="00F72521" w:rsidRPr="00D25321" w:rsidRDefault="00F72521" w:rsidP="00F72521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5" w:type="pct"/>
            <w:vMerge/>
          </w:tcPr>
          <w:p w:rsidR="00F72521" w:rsidRPr="00D25321" w:rsidRDefault="00F72521" w:rsidP="00F72521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82" w:type="pct"/>
          </w:tcPr>
          <w:p w:rsidR="00F72521" w:rsidRPr="00D25321" w:rsidRDefault="00F72521" w:rsidP="00F72521">
            <w:pPr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тыс. руб.</w:t>
            </w:r>
          </w:p>
        </w:tc>
        <w:tc>
          <w:tcPr>
            <w:tcW w:w="331" w:type="pct"/>
          </w:tcPr>
          <w:p w:rsidR="00F72521" w:rsidRPr="00D25321" w:rsidRDefault="00F72521" w:rsidP="00F72521">
            <w:pPr>
              <w:jc w:val="center"/>
              <w:rPr>
                <w:rFonts w:eastAsia="Calibri"/>
                <w:lang w:eastAsia="ar-SA"/>
              </w:rPr>
            </w:pPr>
            <w:r w:rsidRPr="00D25321">
              <w:rPr>
                <w:rFonts w:eastAsia="Calibri"/>
                <w:lang w:eastAsia="ar-SA"/>
              </w:rPr>
              <w:t>%</w:t>
            </w:r>
          </w:p>
        </w:tc>
      </w:tr>
      <w:tr w:rsidR="00370BE8" w:rsidRPr="00D25321" w:rsidTr="008D5E5A">
        <w:tc>
          <w:tcPr>
            <w:tcW w:w="776" w:type="pct"/>
          </w:tcPr>
          <w:p w:rsidR="00370BE8" w:rsidRPr="00D25321" w:rsidRDefault="00370BE8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Налоговые и неналоговые</w:t>
            </w:r>
          </w:p>
        </w:tc>
        <w:tc>
          <w:tcPr>
            <w:tcW w:w="524" w:type="pct"/>
          </w:tcPr>
          <w:p w:rsidR="00370BE8" w:rsidRPr="00D25321" w:rsidRDefault="00370BE8" w:rsidP="009D4D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781591,0</w:t>
            </w:r>
          </w:p>
        </w:tc>
        <w:tc>
          <w:tcPr>
            <w:tcW w:w="324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51,7</w:t>
            </w:r>
          </w:p>
        </w:tc>
        <w:tc>
          <w:tcPr>
            <w:tcW w:w="523" w:type="pct"/>
          </w:tcPr>
          <w:p w:rsidR="00370BE8" w:rsidRPr="00D25321" w:rsidRDefault="00370BE8" w:rsidP="009D4D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807089,2</w:t>
            </w:r>
          </w:p>
        </w:tc>
        <w:tc>
          <w:tcPr>
            <w:tcW w:w="325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52,7</w:t>
            </w:r>
          </w:p>
        </w:tc>
        <w:tc>
          <w:tcPr>
            <w:tcW w:w="532" w:type="pct"/>
          </w:tcPr>
          <w:p w:rsidR="00370BE8" w:rsidRPr="00D25321" w:rsidRDefault="00370BE8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+25498,2</w:t>
            </w:r>
          </w:p>
        </w:tc>
        <w:tc>
          <w:tcPr>
            <w:tcW w:w="332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+3,3</w:t>
            </w:r>
          </w:p>
        </w:tc>
        <w:tc>
          <w:tcPr>
            <w:tcW w:w="525" w:type="pct"/>
          </w:tcPr>
          <w:p w:rsidR="00370BE8" w:rsidRPr="00D25321" w:rsidRDefault="00370BE8" w:rsidP="00F7252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773918,0</w:t>
            </w:r>
          </w:p>
        </w:tc>
        <w:tc>
          <w:tcPr>
            <w:tcW w:w="325" w:type="pct"/>
          </w:tcPr>
          <w:p w:rsidR="00370BE8" w:rsidRPr="00D25321" w:rsidRDefault="00370BE8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51,9</w:t>
            </w:r>
          </w:p>
        </w:tc>
        <w:tc>
          <w:tcPr>
            <w:tcW w:w="482" w:type="pct"/>
          </w:tcPr>
          <w:p w:rsidR="00370BE8" w:rsidRPr="00D25321" w:rsidRDefault="00370BE8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-33171,2</w:t>
            </w:r>
          </w:p>
        </w:tc>
        <w:tc>
          <w:tcPr>
            <w:tcW w:w="331" w:type="pct"/>
          </w:tcPr>
          <w:p w:rsidR="00370BE8" w:rsidRPr="00D25321" w:rsidRDefault="009956D4" w:rsidP="00370BE8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-4</w:t>
            </w:r>
            <w:r w:rsidR="00370BE8" w:rsidRPr="00D25321">
              <w:rPr>
                <w:rFonts w:eastAsia="Calibri"/>
                <w:sz w:val="18"/>
                <w:szCs w:val="18"/>
                <w:lang w:eastAsia="ar-SA"/>
              </w:rPr>
              <w:t>,</w:t>
            </w:r>
            <w:r w:rsidRPr="00D25321"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</w:tr>
      <w:tr w:rsidR="00370BE8" w:rsidRPr="00D25321" w:rsidTr="008D5E5A">
        <w:tc>
          <w:tcPr>
            <w:tcW w:w="776" w:type="pct"/>
          </w:tcPr>
          <w:p w:rsidR="00370BE8" w:rsidRPr="00D25321" w:rsidRDefault="00370BE8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налоговые</w:t>
            </w:r>
          </w:p>
        </w:tc>
        <w:tc>
          <w:tcPr>
            <w:tcW w:w="524" w:type="pct"/>
          </w:tcPr>
          <w:p w:rsidR="00370BE8" w:rsidRPr="00D25321" w:rsidRDefault="00370BE8" w:rsidP="009D4D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600278,1</w:t>
            </w:r>
          </w:p>
        </w:tc>
        <w:tc>
          <w:tcPr>
            <w:tcW w:w="324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39,7</w:t>
            </w:r>
          </w:p>
        </w:tc>
        <w:tc>
          <w:tcPr>
            <w:tcW w:w="523" w:type="pct"/>
          </w:tcPr>
          <w:p w:rsidR="00370BE8" w:rsidRPr="00D25321" w:rsidRDefault="00370BE8" w:rsidP="009D4D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641856,3</w:t>
            </w:r>
          </w:p>
        </w:tc>
        <w:tc>
          <w:tcPr>
            <w:tcW w:w="325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41,9</w:t>
            </w:r>
          </w:p>
        </w:tc>
        <w:tc>
          <w:tcPr>
            <w:tcW w:w="532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+41578,2</w:t>
            </w:r>
          </w:p>
        </w:tc>
        <w:tc>
          <w:tcPr>
            <w:tcW w:w="332" w:type="pct"/>
          </w:tcPr>
          <w:p w:rsidR="00370BE8" w:rsidRPr="00D25321" w:rsidRDefault="00F7068F" w:rsidP="00F7068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+6,9</w:t>
            </w:r>
          </w:p>
        </w:tc>
        <w:tc>
          <w:tcPr>
            <w:tcW w:w="525" w:type="pct"/>
          </w:tcPr>
          <w:p w:rsidR="00370BE8" w:rsidRPr="00D25321" w:rsidRDefault="00370BE8" w:rsidP="00F7252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662234,0</w:t>
            </w:r>
          </w:p>
        </w:tc>
        <w:tc>
          <w:tcPr>
            <w:tcW w:w="325" w:type="pct"/>
          </w:tcPr>
          <w:p w:rsidR="00370BE8" w:rsidRPr="00D25321" w:rsidRDefault="00370BE8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44,4</w:t>
            </w:r>
          </w:p>
        </w:tc>
        <w:tc>
          <w:tcPr>
            <w:tcW w:w="482" w:type="pct"/>
          </w:tcPr>
          <w:p w:rsidR="00370BE8" w:rsidRPr="00D25321" w:rsidRDefault="00505121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+20377,7</w:t>
            </w:r>
          </w:p>
        </w:tc>
        <w:tc>
          <w:tcPr>
            <w:tcW w:w="331" w:type="pct"/>
          </w:tcPr>
          <w:p w:rsidR="00370BE8" w:rsidRPr="00D25321" w:rsidRDefault="009956D4" w:rsidP="009956D4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+3</w:t>
            </w:r>
            <w:r w:rsidR="00505121" w:rsidRPr="00D25321">
              <w:rPr>
                <w:rFonts w:eastAsia="Calibri"/>
                <w:sz w:val="18"/>
                <w:szCs w:val="18"/>
                <w:lang w:eastAsia="ar-SA"/>
              </w:rPr>
              <w:t>,</w:t>
            </w:r>
            <w:r w:rsidRPr="00D25321">
              <w:rPr>
                <w:rFonts w:eastAsia="Calibri"/>
                <w:sz w:val="18"/>
                <w:szCs w:val="18"/>
                <w:lang w:eastAsia="ar-SA"/>
              </w:rPr>
              <w:t>17</w:t>
            </w:r>
          </w:p>
        </w:tc>
      </w:tr>
      <w:tr w:rsidR="00370BE8" w:rsidRPr="00D25321" w:rsidTr="008D5E5A">
        <w:tc>
          <w:tcPr>
            <w:tcW w:w="776" w:type="pct"/>
          </w:tcPr>
          <w:p w:rsidR="00370BE8" w:rsidRPr="00D25321" w:rsidRDefault="00370BE8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неналоговые</w:t>
            </w:r>
          </w:p>
        </w:tc>
        <w:tc>
          <w:tcPr>
            <w:tcW w:w="524" w:type="pct"/>
          </w:tcPr>
          <w:p w:rsidR="00370BE8" w:rsidRPr="00D25321" w:rsidRDefault="00370BE8" w:rsidP="009D4D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181312,9</w:t>
            </w:r>
          </w:p>
        </w:tc>
        <w:tc>
          <w:tcPr>
            <w:tcW w:w="324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523" w:type="pct"/>
          </w:tcPr>
          <w:p w:rsidR="00370BE8" w:rsidRPr="00D25321" w:rsidRDefault="00370BE8" w:rsidP="009D4D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165232,9</w:t>
            </w:r>
          </w:p>
        </w:tc>
        <w:tc>
          <w:tcPr>
            <w:tcW w:w="325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10,8</w:t>
            </w:r>
          </w:p>
        </w:tc>
        <w:tc>
          <w:tcPr>
            <w:tcW w:w="532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 xml:space="preserve"> -16080,0</w:t>
            </w:r>
          </w:p>
        </w:tc>
        <w:tc>
          <w:tcPr>
            <w:tcW w:w="332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-8,9</w:t>
            </w:r>
          </w:p>
        </w:tc>
        <w:tc>
          <w:tcPr>
            <w:tcW w:w="525" w:type="pct"/>
          </w:tcPr>
          <w:p w:rsidR="00370BE8" w:rsidRPr="00D25321" w:rsidRDefault="00370BE8" w:rsidP="00F7252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111684,0</w:t>
            </w:r>
          </w:p>
        </w:tc>
        <w:tc>
          <w:tcPr>
            <w:tcW w:w="325" w:type="pct"/>
          </w:tcPr>
          <w:p w:rsidR="00370BE8" w:rsidRPr="00D25321" w:rsidRDefault="00370BE8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7,5</w:t>
            </w:r>
          </w:p>
        </w:tc>
        <w:tc>
          <w:tcPr>
            <w:tcW w:w="482" w:type="pct"/>
          </w:tcPr>
          <w:p w:rsidR="00370BE8" w:rsidRPr="00D25321" w:rsidRDefault="00505121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 xml:space="preserve"> -53548,9</w:t>
            </w:r>
          </w:p>
        </w:tc>
        <w:tc>
          <w:tcPr>
            <w:tcW w:w="331" w:type="pct"/>
          </w:tcPr>
          <w:p w:rsidR="00370BE8" w:rsidRPr="00D25321" w:rsidRDefault="00505121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-3</w:t>
            </w:r>
            <w:r w:rsidR="00B31B68" w:rsidRPr="00D25321">
              <w:rPr>
                <w:rFonts w:eastAsia="Calibri"/>
                <w:sz w:val="18"/>
                <w:szCs w:val="18"/>
                <w:lang w:eastAsia="ar-SA"/>
              </w:rPr>
              <w:t>2,4</w:t>
            </w:r>
          </w:p>
        </w:tc>
      </w:tr>
      <w:tr w:rsidR="00370BE8" w:rsidRPr="00D25321" w:rsidTr="008D5E5A">
        <w:tc>
          <w:tcPr>
            <w:tcW w:w="776" w:type="pct"/>
          </w:tcPr>
          <w:p w:rsidR="00370BE8" w:rsidRPr="00D25321" w:rsidRDefault="00370BE8" w:rsidP="00F72521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безвозмездные поступления</w:t>
            </w:r>
          </w:p>
        </w:tc>
        <w:tc>
          <w:tcPr>
            <w:tcW w:w="524" w:type="pct"/>
          </w:tcPr>
          <w:p w:rsidR="00370BE8" w:rsidRPr="00D25321" w:rsidRDefault="00370BE8" w:rsidP="009D4D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730429,2</w:t>
            </w:r>
          </w:p>
        </w:tc>
        <w:tc>
          <w:tcPr>
            <w:tcW w:w="324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48,3</w:t>
            </w:r>
          </w:p>
        </w:tc>
        <w:tc>
          <w:tcPr>
            <w:tcW w:w="523" w:type="pct"/>
          </w:tcPr>
          <w:p w:rsidR="00370BE8" w:rsidRPr="00D25321" w:rsidRDefault="00370BE8" w:rsidP="009D4D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725359,3</w:t>
            </w:r>
          </w:p>
        </w:tc>
        <w:tc>
          <w:tcPr>
            <w:tcW w:w="325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47,3</w:t>
            </w:r>
          </w:p>
        </w:tc>
        <w:tc>
          <w:tcPr>
            <w:tcW w:w="532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 xml:space="preserve">   -5069,9</w:t>
            </w:r>
          </w:p>
        </w:tc>
        <w:tc>
          <w:tcPr>
            <w:tcW w:w="332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-0,7</w:t>
            </w:r>
          </w:p>
        </w:tc>
        <w:tc>
          <w:tcPr>
            <w:tcW w:w="525" w:type="pct"/>
          </w:tcPr>
          <w:p w:rsidR="00370BE8" w:rsidRPr="00D25321" w:rsidRDefault="00370BE8" w:rsidP="00F7252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716412,3</w:t>
            </w:r>
          </w:p>
        </w:tc>
        <w:tc>
          <w:tcPr>
            <w:tcW w:w="325" w:type="pct"/>
          </w:tcPr>
          <w:p w:rsidR="00370BE8" w:rsidRPr="00D25321" w:rsidRDefault="00370BE8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48,1</w:t>
            </w:r>
          </w:p>
        </w:tc>
        <w:tc>
          <w:tcPr>
            <w:tcW w:w="482" w:type="pct"/>
          </w:tcPr>
          <w:p w:rsidR="00370BE8" w:rsidRPr="00D25321" w:rsidRDefault="00505121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 xml:space="preserve">   -8947,0</w:t>
            </w:r>
          </w:p>
        </w:tc>
        <w:tc>
          <w:tcPr>
            <w:tcW w:w="331" w:type="pct"/>
          </w:tcPr>
          <w:p w:rsidR="00370BE8" w:rsidRPr="00D25321" w:rsidRDefault="00505121" w:rsidP="009956D4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-</w:t>
            </w:r>
            <w:r w:rsidR="009956D4" w:rsidRPr="00D25321">
              <w:rPr>
                <w:rFonts w:eastAsia="Calibri"/>
                <w:sz w:val="18"/>
                <w:szCs w:val="18"/>
                <w:lang w:eastAsia="ar-SA"/>
              </w:rPr>
              <w:t>1,23</w:t>
            </w:r>
          </w:p>
        </w:tc>
      </w:tr>
      <w:tr w:rsidR="00370BE8" w:rsidRPr="00D25321" w:rsidTr="008D5E5A">
        <w:tc>
          <w:tcPr>
            <w:tcW w:w="776" w:type="pct"/>
          </w:tcPr>
          <w:p w:rsidR="00370BE8" w:rsidRPr="00D25321" w:rsidRDefault="00370BE8" w:rsidP="00F72521">
            <w:pPr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Итого</w:t>
            </w:r>
          </w:p>
        </w:tc>
        <w:tc>
          <w:tcPr>
            <w:tcW w:w="524" w:type="pct"/>
          </w:tcPr>
          <w:p w:rsidR="00370BE8" w:rsidRPr="00D25321" w:rsidRDefault="00370BE8" w:rsidP="009D4D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1512020,2</w:t>
            </w:r>
          </w:p>
        </w:tc>
        <w:tc>
          <w:tcPr>
            <w:tcW w:w="324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523" w:type="pct"/>
          </w:tcPr>
          <w:p w:rsidR="00370BE8" w:rsidRPr="00D25321" w:rsidRDefault="00370BE8" w:rsidP="009D4D51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1532448,5</w:t>
            </w:r>
          </w:p>
        </w:tc>
        <w:tc>
          <w:tcPr>
            <w:tcW w:w="325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532" w:type="pct"/>
          </w:tcPr>
          <w:p w:rsidR="00370BE8" w:rsidRPr="00D25321" w:rsidRDefault="00370BE8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+20428,3</w:t>
            </w:r>
          </w:p>
        </w:tc>
        <w:tc>
          <w:tcPr>
            <w:tcW w:w="332" w:type="pct"/>
          </w:tcPr>
          <w:p w:rsidR="00370BE8" w:rsidRPr="00D25321" w:rsidRDefault="00F7068F" w:rsidP="009D4D5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+1</w:t>
            </w:r>
            <w:r w:rsidR="00370BE8" w:rsidRPr="00D25321">
              <w:rPr>
                <w:rFonts w:eastAsia="Calibri"/>
                <w:sz w:val="18"/>
                <w:szCs w:val="18"/>
                <w:lang w:eastAsia="ar-SA"/>
              </w:rPr>
              <w:t>,</w:t>
            </w:r>
            <w:r w:rsidRPr="00D25321">
              <w:rPr>
                <w:rFonts w:eastAsia="Calibri"/>
                <w:sz w:val="18"/>
                <w:szCs w:val="18"/>
                <w:lang w:eastAsia="ar-SA"/>
              </w:rPr>
              <w:t>3</w:t>
            </w:r>
            <w:r w:rsidR="00370BE8" w:rsidRPr="00D25321">
              <w:rPr>
                <w:rFonts w:eastAsia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25" w:type="pct"/>
          </w:tcPr>
          <w:p w:rsidR="00370BE8" w:rsidRPr="00D25321" w:rsidRDefault="00370BE8" w:rsidP="00370BE8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1490330,3</w:t>
            </w:r>
          </w:p>
        </w:tc>
        <w:tc>
          <w:tcPr>
            <w:tcW w:w="325" w:type="pct"/>
          </w:tcPr>
          <w:p w:rsidR="00370BE8" w:rsidRPr="00D25321" w:rsidRDefault="00370BE8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482" w:type="pct"/>
          </w:tcPr>
          <w:p w:rsidR="00370BE8" w:rsidRPr="00D25321" w:rsidRDefault="00505121" w:rsidP="00F725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-42118,2</w:t>
            </w:r>
          </w:p>
        </w:tc>
        <w:tc>
          <w:tcPr>
            <w:tcW w:w="331" w:type="pct"/>
          </w:tcPr>
          <w:p w:rsidR="00370BE8" w:rsidRPr="00D25321" w:rsidRDefault="00505121" w:rsidP="0050512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D25321">
              <w:rPr>
                <w:rFonts w:eastAsia="Calibri"/>
                <w:sz w:val="18"/>
                <w:szCs w:val="18"/>
                <w:lang w:eastAsia="ar-SA"/>
              </w:rPr>
              <w:t>-2,74</w:t>
            </w:r>
          </w:p>
        </w:tc>
      </w:tr>
    </w:tbl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Из таблицы видно, что ежегодные налоговые и неналоговые доходы г</w:t>
      </w:r>
      <w:r w:rsidR="00B31B68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ородского округа в период с 2015 по 2017 год снизились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7</w:t>
      </w:r>
      <w:r w:rsidR="00B31B68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81591,0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до </w:t>
      </w:r>
      <w:r w:rsidR="00B31B68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773918,0 тыс. руб. (-0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B31B68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8 %), </w:t>
      </w:r>
      <w:r w:rsidR="00B31B68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при этом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31B68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налоговые доходы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увеличились с 600278,1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руб. до 662234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0 тыс. руб.(+10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%)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 неналоговые снизились с 181312,9 тыс. руб. до 111684,0 тыс. руб.(-38,4%)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Вместе с тем в анализируемом периоде наблюдается замедление темпов роста н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алоговых доходов, который в 2016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составил 10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6,9 %, в 2017 году </w:t>
      </w:r>
      <w:r w:rsidR="00E4326C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103,2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 Снижение темпов роста налоговых доходов в основном обусловлено снижением темпов роста экономики России, в связи с кризисными явлениями, замедлением роста фонда оплаты труда. 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В среднем, за рассматриваемый период, в структуре налоговых и неналоговых доходов городского бюджета налоговые доходы составляют наибольшую долю -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85,6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%, а ненал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оговые доходы наименьшую долю 14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На диаграмме приведена информация о структуре налоговых </w:t>
      </w:r>
      <w:r w:rsidR="008D471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доходов городского округа в 2017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году.</w:t>
      </w:r>
    </w:p>
    <w:p w:rsidR="00082439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</w:p>
    <w:p w:rsidR="00082439" w:rsidRPr="00D25321" w:rsidRDefault="00082439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2439" w:rsidRPr="00D25321" w:rsidRDefault="00082439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2439" w:rsidRPr="00D25321" w:rsidRDefault="00082439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2439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:rsidR="00082439" w:rsidRPr="00D25321" w:rsidRDefault="00E7566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noProof/>
          <w:lang w:eastAsia="ru-RU"/>
        </w:rPr>
        <w:drawing>
          <wp:inline distT="0" distB="0" distL="0" distR="0" wp14:anchorId="0D11F29E" wp14:editId="04953CCB">
            <wp:extent cx="5940425" cy="4156823"/>
            <wp:effectExtent l="0" t="0" r="22225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2439" w:rsidRPr="00D25321" w:rsidRDefault="00082439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2521" w:rsidRPr="00D25321" w:rsidRDefault="00D03F27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</w:t>
      </w:r>
      <w:r w:rsidR="00F72521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Наибольший удельный вес в структуре налоговых доходов по-прежнему занимает на</w:t>
      </w:r>
      <w:r w:rsidR="00C241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лог на доходы физических лиц</w:t>
      </w:r>
      <w:r w:rsidR="00C572F3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241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- 69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C241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(461320,3</w:t>
      </w:r>
      <w:r w:rsidR="00F72521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руб.). В общей сумме налоговых доходов, доля на</w:t>
      </w:r>
      <w:r w:rsidR="00C241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логов на имущество составляет 15,0</w:t>
      </w:r>
      <w:r w:rsidR="00F72521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</w:t>
      </w:r>
      <w:r w:rsidR="00C241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(99411,0</w:t>
      </w:r>
      <w:r w:rsidR="00F72521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руб.), налоги на совокупный доход - 9,</w:t>
      </w:r>
      <w:r w:rsidR="00C241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5 % (6</w:t>
      </w:r>
      <w:r w:rsidR="00A4440E">
        <w:rPr>
          <w:rFonts w:ascii="Times New Roman" w:eastAsia="Calibri" w:hAnsi="Times New Roman" w:cs="Times New Roman"/>
          <w:sz w:val="24"/>
          <w:szCs w:val="24"/>
          <w:lang w:eastAsia="ar-SA"/>
        </w:rPr>
        <w:t>2668,8</w:t>
      </w:r>
      <w:r w:rsidR="00C241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руб.), госпошлина  </w:t>
      </w:r>
      <w:r w:rsidR="00C572F3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C241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1,2  % (7839,0</w:t>
      </w:r>
      <w:r w:rsidR="00F72521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руб.).</w:t>
      </w:r>
    </w:p>
    <w:p w:rsidR="00645F41" w:rsidRPr="00D25321" w:rsidRDefault="00F72521" w:rsidP="00645F41">
      <w:pPr>
        <w:pStyle w:val="1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lang w:val="ru-RU" w:eastAsia="en-US"/>
        </w:rPr>
      </w:pPr>
      <w:r w:rsidRPr="00D25321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D25321">
        <w:rPr>
          <w:rFonts w:ascii="Times New Roman" w:eastAsia="Calibri" w:hAnsi="Times New Roman"/>
          <w:b w:val="0"/>
          <w:sz w:val="24"/>
          <w:szCs w:val="24"/>
        </w:rPr>
        <w:t>Анализ структуры налоговых платежей по</w:t>
      </w:r>
      <w:r w:rsidR="00C2415F" w:rsidRPr="00D25321">
        <w:rPr>
          <w:rFonts w:ascii="Times New Roman" w:eastAsia="Calibri" w:hAnsi="Times New Roman"/>
          <w:b w:val="0"/>
          <w:sz w:val="24"/>
          <w:szCs w:val="24"/>
        </w:rPr>
        <w:t>казывает, что в сравнении с 2016</w:t>
      </w:r>
      <w:r w:rsidRPr="00D25321">
        <w:rPr>
          <w:rFonts w:ascii="Times New Roman" w:eastAsia="Calibri" w:hAnsi="Times New Roman"/>
          <w:b w:val="0"/>
          <w:sz w:val="24"/>
          <w:szCs w:val="24"/>
        </w:rPr>
        <w:t xml:space="preserve"> годом ув</w:t>
      </w:r>
      <w:r w:rsidR="00C2415F" w:rsidRPr="00D25321">
        <w:rPr>
          <w:rFonts w:ascii="Times New Roman" w:eastAsia="Calibri" w:hAnsi="Times New Roman"/>
          <w:b w:val="0"/>
          <w:sz w:val="24"/>
          <w:szCs w:val="24"/>
        </w:rPr>
        <w:t>еличился удельный вес НДФЛ (с 68,9 % до 69</w:t>
      </w:r>
      <w:r w:rsidRPr="00D25321">
        <w:rPr>
          <w:rFonts w:ascii="Times New Roman" w:eastAsia="Calibri" w:hAnsi="Times New Roman"/>
          <w:b w:val="0"/>
          <w:sz w:val="24"/>
          <w:szCs w:val="24"/>
        </w:rPr>
        <w:t>,</w:t>
      </w:r>
      <w:r w:rsidR="00C2415F" w:rsidRPr="00D25321">
        <w:rPr>
          <w:rFonts w:ascii="Times New Roman" w:eastAsia="Calibri" w:hAnsi="Times New Roman"/>
          <w:b w:val="0"/>
          <w:sz w:val="24"/>
          <w:szCs w:val="24"/>
        </w:rPr>
        <w:t>7%),</w:t>
      </w:r>
      <w:r w:rsidRPr="00D25321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 w:rsidR="0049154F" w:rsidRPr="00D25321">
        <w:rPr>
          <w:rFonts w:ascii="Times New Roman" w:eastAsia="Calibri" w:hAnsi="Times New Roman"/>
          <w:b w:val="0"/>
          <w:sz w:val="24"/>
          <w:szCs w:val="24"/>
        </w:rPr>
        <w:t xml:space="preserve">доля поступлений </w:t>
      </w:r>
      <w:r w:rsidR="000C7C94" w:rsidRPr="00D25321">
        <w:rPr>
          <w:rFonts w:ascii="Times New Roman" w:eastAsia="Calibri" w:hAnsi="Times New Roman"/>
          <w:b w:val="0"/>
          <w:sz w:val="24"/>
          <w:szCs w:val="24"/>
        </w:rPr>
        <w:t>от акцизов снизилась (с 5,8 % до 4,7%)</w:t>
      </w:r>
      <w:r w:rsidR="004A09ED" w:rsidRPr="00D25321">
        <w:rPr>
          <w:rFonts w:ascii="Times New Roman" w:eastAsia="Calibri" w:hAnsi="Times New Roman"/>
          <w:b w:val="0"/>
          <w:sz w:val="24"/>
          <w:szCs w:val="24"/>
        </w:rPr>
        <w:t xml:space="preserve"> – объясняется </w:t>
      </w:r>
      <w:r w:rsidR="000C7C94" w:rsidRPr="00D25321">
        <w:rPr>
          <w:rFonts w:ascii="Times New Roman" w:eastAsia="Calibri" w:hAnsi="Times New Roman"/>
          <w:b w:val="0"/>
          <w:sz w:val="24"/>
          <w:szCs w:val="24"/>
        </w:rPr>
        <w:t xml:space="preserve">изменением дополнительных </w:t>
      </w:r>
      <w:r w:rsidRPr="00D25321">
        <w:rPr>
          <w:rFonts w:ascii="Times New Roman" w:eastAsia="Calibri" w:hAnsi="Times New Roman"/>
          <w:b w:val="0"/>
          <w:sz w:val="24"/>
          <w:szCs w:val="24"/>
        </w:rPr>
        <w:t>нормативов отчислений от налога на доходы физических лиц в местные бюджеты,</w:t>
      </w:r>
      <w:r w:rsidR="000C7C94" w:rsidRPr="00D25321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 w:rsidR="00645F41" w:rsidRPr="00D25321">
        <w:rPr>
          <w:rFonts w:ascii="Times New Roman" w:eastAsia="Calibri" w:hAnsi="Times New Roman"/>
          <w:b w:val="0"/>
          <w:sz w:val="24"/>
          <w:szCs w:val="24"/>
        </w:rPr>
        <w:t>норматива</w:t>
      </w:r>
      <w:r w:rsidR="004A09ED" w:rsidRPr="00D25321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 w:rsidR="00645F41" w:rsidRPr="00D25321">
        <w:rPr>
          <w:rFonts w:ascii="Times New Roman" w:eastAsia="Calibri" w:hAnsi="Times New Roman"/>
          <w:b w:val="0"/>
          <w:sz w:val="24"/>
          <w:szCs w:val="24"/>
        </w:rPr>
        <w:t>отчислений</w:t>
      </w:r>
      <w:r w:rsidR="00645F41" w:rsidRPr="00D25321">
        <w:rPr>
          <w:rFonts w:ascii="Times New Roman" w:eastAsia="Calibri" w:hAnsi="Times New Roman"/>
          <w:b w:val="0"/>
          <w:sz w:val="24"/>
          <w:szCs w:val="24"/>
          <w:lang w:val="ru-RU"/>
        </w:rPr>
        <w:t xml:space="preserve"> </w:t>
      </w:r>
      <w:r w:rsidR="004A09ED" w:rsidRPr="00D25321">
        <w:rPr>
          <w:rFonts w:ascii="Times New Roman" w:eastAsia="Calibri" w:hAnsi="Times New Roman"/>
          <w:b w:val="0"/>
          <w:sz w:val="24"/>
          <w:szCs w:val="24"/>
        </w:rPr>
        <w:t xml:space="preserve">в местные бюджеты от акцизов и </w:t>
      </w:r>
      <w:r w:rsidR="00645F41" w:rsidRPr="00D25321">
        <w:rPr>
          <w:rFonts w:ascii="Times New Roman" w:eastAsiaTheme="minorHAnsi" w:hAnsi="Times New Roman"/>
          <w:b w:val="0"/>
          <w:kern w:val="0"/>
          <w:sz w:val="24"/>
          <w:szCs w:val="24"/>
          <w:lang w:val="ru-RU" w:eastAsia="en-US"/>
        </w:rPr>
        <w:t>прогноза</w:t>
      </w:r>
      <w:r w:rsidR="00645F41" w:rsidRPr="00D25321">
        <w:rPr>
          <w:rFonts w:ascii="Times New Roman" w:eastAsiaTheme="minorHAnsi" w:hAnsi="Times New Roman"/>
          <w:b w:val="0"/>
          <w:kern w:val="0"/>
          <w:sz w:val="24"/>
          <w:szCs w:val="24"/>
          <w:lang w:val="ru-RU" w:eastAsia="en-US"/>
        </w:rPr>
        <w:br/>
        <w:t>поступлений по акцизам из других бюджетов бюджетной системы Российской Федерации в областной бюджет.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Анализ фактического исполнения доходной части бюджета городского округа в разрезе</w:t>
      </w:r>
      <w:r w:rsidR="00645F4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отдельных видов доходов за 2017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в сравнении с плановыми показателями представлен в приложении №1.</w:t>
      </w:r>
    </w:p>
    <w:p w:rsidR="00F72521" w:rsidRPr="00D25321" w:rsidRDefault="00F72521" w:rsidP="00F72521">
      <w:pPr>
        <w:spacing w:after="12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Анализ структуры доходов бюджета городского</w:t>
      </w:r>
      <w:r w:rsidR="00645F4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округа город Михайловка за 2017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показал:</w:t>
      </w: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</w:p>
    <w:p w:rsidR="00F72521" w:rsidRPr="00D25321" w:rsidRDefault="00F72521" w:rsidP="00F72521">
      <w:pPr>
        <w:spacing w:after="1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            Налоговые и неналоговые доходы бюджета</w:t>
      </w:r>
      <w:r w:rsidR="00645F41"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в 2017</w:t>
      </w:r>
      <w:r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году у</w:t>
      </w:r>
      <w:r w:rsidR="00645F41"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>меньшили</w:t>
      </w:r>
      <w:r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сь в абсолютном значении на </w:t>
      </w:r>
      <w:r w:rsidR="00716DFD"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>33171</w:t>
      </w:r>
      <w:r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>,2 тыс. ру</w:t>
      </w:r>
      <w:r w:rsidR="00716DFD"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б.,  в процентном отношении на </w:t>
      </w:r>
      <w:r w:rsidR="00762CAD">
        <w:rPr>
          <w:rFonts w:ascii="Times New Roman" w:eastAsia="Calibri" w:hAnsi="Times New Roman" w:cs="Calibri"/>
          <w:iCs/>
          <w:sz w:val="24"/>
          <w:szCs w:val="24"/>
          <w:lang w:eastAsia="ar-SA"/>
        </w:rPr>
        <w:t>4,1</w:t>
      </w:r>
      <w:r w:rsidR="00716DFD"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процентных</w:t>
      </w:r>
      <w:r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пункт</w:t>
      </w:r>
      <w:r w:rsidR="00716DFD"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>а и составили 773918</w:t>
      </w:r>
      <w:r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>,</w:t>
      </w:r>
      <w:r w:rsidR="00716DFD"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>0 тыс. руб. или  51,9</w:t>
      </w:r>
      <w:r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% в общей сумме доходов бюджета городского округа. На изменение доли налоговых и неналоговых доходов повлияло снижение суммы поступлений по </w:t>
      </w:r>
      <w:r w:rsidR="00716DFD"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>неналоговым доходам</w:t>
      </w:r>
      <w:r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, как в абсолютном, так и в </w:t>
      </w:r>
      <w:r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lastRenderedPageBreak/>
        <w:t>относительном значении</w:t>
      </w:r>
      <w:r w:rsidR="00716DFD" w:rsidRPr="00D25321">
        <w:rPr>
          <w:rFonts w:ascii="Times New Roman" w:eastAsia="Calibri" w:hAnsi="Times New Roman" w:cs="Calibri"/>
          <w:iCs/>
          <w:sz w:val="24"/>
          <w:szCs w:val="24"/>
          <w:lang w:eastAsia="ar-SA"/>
        </w:rPr>
        <w:t>.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Доля безвозмездных поступлений </w:t>
      </w:r>
      <w:r w:rsidR="00716DF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в бюджет городского округа  увеличилась на 0,7 процентных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пункт</w:t>
      </w:r>
      <w:r w:rsidR="00716DF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716DFD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при этом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абсолютная величина безвозмездных поступлений уменьшилась на </w:t>
      </w:r>
      <w:r w:rsidR="00037354" w:rsidRPr="00D25321"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="00762CAD">
        <w:rPr>
          <w:rFonts w:ascii="Times New Roman" w:eastAsia="Calibri" w:hAnsi="Times New Roman" w:cs="Calibri"/>
          <w:sz w:val="24"/>
          <w:szCs w:val="24"/>
          <w:lang w:eastAsia="ar-SA"/>
        </w:rPr>
        <w:t>465,8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</w:p>
    <w:p w:rsidR="00F72521" w:rsidRPr="00D25321" w:rsidRDefault="00F72521" w:rsidP="00F72521">
      <w:pPr>
        <w:spacing w:after="1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</w:t>
      </w:r>
      <w:r w:rsidR="00037354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Безвозмездные поступления в 2017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составили </w:t>
      </w:r>
      <w:r w:rsidR="00037354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716210,9</w:t>
      </w:r>
      <w:r w:rsidR="00037354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(48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037354" w:rsidRPr="00D25321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%).</w:t>
      </w:r>
    </w:p>
    <w:p w:rsidR="00F72521" w:rsidRPr="00D25321" w:rsidRDefault="0060301B" w:rsidP="00F72521">
      <w:pPr>
        <w:spacing w:after="1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noProof/>
          <w:lang w:eastAsia="ru-RU"/>
        </w:rPr>
        <w:drawing>
          <wp:inline distT="0" distB="0" distL="0" distR="0" wp14:anchorId="6A3B627F" wp14:editId="033E899E">
            <wp:extent cx="6010275" cy="20764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75C8" w:rsidRPr="00D25321" w:rsidRDefault="00F72521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b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</w:t>
      </w:r>
      <w:r w:rsidRPr="00D25321">
        <w:rPr>
          <w:rFonts w:ascii="Times New Roman" w:eastAsia="Calibri" w:hAnsi="Times New Roman" w:cs="Calibri"/>
          <w:b/>
          <w:lang w:eastAsia="ar-SA"/>
        </w:rPr>
        <w:t>Ди</w:t>
      </w:r>
      <w:r w:rsidR="001653BF" w:rsidRPr="00D25321">
        <w:rPr>
          <w:rFonts w:ascii="Times New Roman" w:eastAsia="Calibri" w:hAnsi="Times New Roman" w:cs="Calibri"/>
          <w:b/>
          <w:lang w:eastAsia="ar-SA"/>
        </w:rPr>
        <w:t>намика изменения  доходов в 2017 году по отношению к 2016</w:t>
      </w:r>
      <w:r w:rsidR="00E75661" w:rsidRPr="00D25321">
        <w:rPr>
          <w:rFonts w:ascii="Times New Roman" w:eastAsia="Calibri" w:hAnsi="Times New Roman" w:cs="Calibri"/>
          <w:b/>
          <w:lang w:eastAsia="ar-SA"/>
        </w:rPr>
        <w:t xml:space="preserve"> году       </w:t>
      </w:r>
      <w:r w:rsidRPr="00D25321">
        <w:rPr>
          <w:rFonts w:ascii="Times New Roman" w:eastAsia="Calibri" w:hAnsi="Times New Roman" w:cs="Calibri"/>
          <w:b/>
          <w:lang w:eastAsia="ar-SA"/>
        </w:rPr>
        <w:t xml:space="preserve"> </w:t>
      </w:r>
      <w:r w:rsidRPr="00D25321">
        <w:rPr>
          <w:rFonts w:ascii="Times New Roman" w:eastAsia="Calibri" w:hAnsi="Times New Roman" w:cs="Calibri"/>
          <w:lang w:eastAsia="ar-SA"/>
        </w:rPr>
        <w:t xml:space="preserve">тыс. руб.  </w:t>
      </w:r>
    </w:p>
    <w:p w:rsidR="00F72521" w:rsidRPr="00D25321" w:rsidRDefault="00F72521" w:rsidP="00F7252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lang w:eastAsia="ar-SA"/>
        </w:rPr>
      </w:pPr>
      <w:r w:rsidRPr="00D25321">
        <w:rPr>
          <w:rFonts w:ascii="Times New Roman" w:eastAsia="Calibri" w:hAnsi="Times New Roman" w:cs="Calibri"/>
          <w:lang w:eastAsia="ar-SA"/>
        </w:rPr>
        <w:lastRenderedPageBreak/>
        <w:t xml:space="preserve">                                  </w:t>
      </w:r>
      <w:r w:rsidR="000075C8" w:rsidRPr="00D25321">
        <w:rPr>
          <w:noProof/>
          <w:lang w:eastAsia="ru-RU"/>
        </w:rPr>
        <w:drawing>
          <wp:inline distT="0" distB="0" distL="0" distR="0" wp14:anchorId="7E086A7F" wp14:editId="23EA7882">
            <wp:extent cx="5940425" cy="6129310"/>
            <wp:effectExtent l="0" t="0" r="22225" b="241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25321">
        <w:rPr>
          <w:rFonts w:ascii="Times New Roman" w:eastAsia="Calibri" w:hAnsi="Times New Roman" w:cs="Calibri"/>
          <w:lang w:eastAsia="ar-SA"/>
        </w:rPr>
        <w:t xml:space="preserve">                                                                 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</w:t>
      </w: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>Поступление налоговых доходов в разрезе конкретных налогов и сборов.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Налоговые доходы бюджета городского</w:t>
      </w:r>
      <w:r w:rsidR="00580C6D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округа город Михайловка за 2017 год исполнены в сумме 662234,0 тыс. руб., или 104,1% к первоначальному плану и 98,6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 к у</w:t>
      </w:r>
      <w:r w:rsidR="001922A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твержденному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плану.  </w:t>
      </w:r>
      <w:proofErr w:type="gramStart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По сравнению с предыдущим годом су</w:t>
      </w:r>
      <w:r w:rsidR="00580C6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мма налоговых поступлений в 2017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увеличи</w:t>
      </w:r>
      <w:r w:rsidR="00580C6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лась на 20377,7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тыс. руб., и в общей структуре доходов составила  4</w:t>
      </w:r>
      <w:r w:rsidR="00AF7E48" w:rsidRPr="00D25321">
        <w:rPr>
          <w:rFonts w:ascii="Times New Roman" w:eastAsia="Calibri" w:hAnsi="Times New Roman" w:cs="Calibri"/>
          <w:sz w:val="24"/>
          <w:szCs w:val="24"/>
          <w:lang w:eastAsia="ar-SA"/>
        </w:rPr>
        <w:t>4,4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  Снижение поступлений по налоговым доходам  наблюдается по единому налогу на вмененный доход на 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2699,8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или 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и 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акцизам на автомобильный и прямогонный бензин, дизельное топливо, моторные масла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6661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</w:t>
      </w:r>
      <w:r w:rsidR="00C572F3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руб. или 1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   Исполнение по</w:t>
      </w:r>
      <w:proofErr w:type="gramEnd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единому  налогу на вмененный доход в 201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составило 4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6410,6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или 8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9 % от первоначального плана, 95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  от величины у</w:t>
      </w:r>
      <w:r w:rsidR="001922A7">
        <w:rPr>
          <w:rFonts w:ascii="Times New Roman" w:eastAsia="Calibri" w:hAnsi="Times New Roman" w:cs="Calibri"/>
          <w:sz w:val="24"/>
          <w:szCs w:val="24"/>
          <w:lang w:eastAsia="ar-SA"/>
        </w:rPr>
        <w:t>твержденного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плана и 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94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от суммы поступлений прошлого года. Снижение поступлений по отношению к предыдущему году и первоначальному плану объясняется снижением торговых площадей и уменьшением количества предпринимателей</w:t>
      </w:r>
      <w:r w:rsidR="002D5A10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3 индиви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дуальных предпринимателя и 1 организация, а также переход на иной режим 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налогообложения 1 организации и одного индивидуального предпринимателя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Исполнение по 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акцизам в 2017 году составило 30994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тыс. руб., или 84,0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о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т первоначального плана, 97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  от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величины ут</w:t>
      </w:r>
      <w:r w:rsidR="001922A7">
        <w:rPr>
          <w:rFonts w:ascii="Times New Roman" w:eastAsia="Calibri" w:hAnsi="Times New Roman" w:cs="Calibri"/>
          <w:sz w:val="24"/>
          <w:szCs w:val="24"/>
          <w:lang w:eastAsia="ar-SA"/>
        </w:rPr>
        <w:t>вержденного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плана и 82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от суммы поступлений прошлого года. </w:t>
      </w:r>
      <w:proofErr w:type="gramStart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Снижение поступлений 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акцизам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по отношению к предыдущему году объясняется</w:t>
      </w:r>
      <w:r w:rsidR="00204F1A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E13DD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изменениями, внесенными в Бюджетный кодекс РФ, сог</w:t>
      </w:r>
      <w:r w:rsidR="0017356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ласно которым процент отчислений</w:t>
      </w:r>
      <w:r w:rsidR="00E13DDD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бюджеты субъектов РФ в 2017 году уменьшился с 88% до 61,7 %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17356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E13DDD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т. е. уменьшилась сумма отчислений в бюджет Волгоградской области, а вместе с ней и поступления в бюджет городского округа город Михайловка. </w:t>
      </w:r>
      <w:proofErr w:type="gramEnd"/>
    </w:p>
    <w:p w:rsidR="00F72521" w:rsidRPr="00D25321" w:rsidRDefault="00F72521" w:rsidP="00F72521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По остальным налоговым платежам, в</w:t>
      </w:r>
      <w:r w:rsidR="00076EA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сравнении с предыдущим годом, 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наблюдается рост поступлений: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17356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-по НДФЛ     на 19035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17356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6 тыс. руб., или на 4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17356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%;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-налог на имущество физических лиц на </w:t>
      </w:r>
      <w:r w:rsidR="0017356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5122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17356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т.е. сумма поступлений увеличилась на </w:t>
      </w:r>
      <w:r w:rsidR="0017356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40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17356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%;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-по единому сельскохозяйственному налогу  на </w:t>
      </w:r>
      <w:r w:rsidR="0017356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1289,6 тыс. руб., или на 11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17356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%;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-налогу, взимаемому в связи с применением патентной системы налогообложения на </w:t>
      </w:r>
      <w:r w:rsidR="0017356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749,5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или </w:t>
      </w:r>
      <w:r w:rsidR="00173569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на 28,0 %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-по </w:t>
      </w:r>
      <w:r w:rsidR="00427A65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земельному налогу 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 </w:t>
      </w:r>
      <w:r w:rsidR="00427A65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2695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427A65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5 тыс. руб. или на 3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427A65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         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Повышение произошло в результате изменения законодательства, изменения нормативов отчислений, </w:t>
      </w:r>
      <w:r w:rsidR="00427A65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роста фонда оплаты труда, увеличением доходов от реализации урожая,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увеличением </w:t>
      </w:r>
      <w:r w:rsidR="00427A65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количества налогоплательщиков, вводом и приватизацией жилищного фонда,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увеличением количества предпринимателей, находящихся на патентной системе налогообложения.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</w:t>
      </w:r>
      <w:proofErr w:type="gramStart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План по доходам не исполнен  </w:t>
      </w:r>
      <w:r w:rsidR="00427A65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по НДФЛ</w:t>
      </w:r>
      <w:r w:rsidR="002E1028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- 98,8 %, налог на имущество физических лиц</w:t>
      </w:r>
      <w:r w:rsidR="00427A65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2E1028" w:rsidRPr="00D25321">
        <w:rPr>
          <w:rFonts w:ascii="Times New Roman" w:eastAsia="Calibri" w:hAnsi="Times New Roman" w:cs="Calibri"/>
          <w:sz w:val="24"/>
          <w:szCs w:val="24"/>
          <w:lang w:eastAsia="ar-SA"/>
        </w:rPr>
        <w:t>- 97,9% (</w:t>
      </w:r>
      <w:r w:rsidR="00427A65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в связи с изменениями в законодательстве</w:t>
      </w:r>
      <w:r w:rsidR="002E1028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переносом сроков уплаты на 01 декабря),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по земельному налогу</w:t>
      </w:r>
      <w:r w:rsidR="002E1028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576DF7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– 99,1 % </w:t>
      </w:r>
      <w:r w:rsidR="002E1028" w:rsidRPr="00D25321">
        <w:rPr>
          <w:rFonts w:ascii="Times New Roman" w:eastAsia="Calibri" w:hAnsi="Times New Roman" w:cs="Calibri"/>
          <w:sz w:val="24"/>
          <w:szCs w:val="24"/>
          <w:lang w:eastAsia="ar-SA"/>
        </w:rPr>
        <w:t>(невыполнение плановых поступлений налога с организаций, объясняется оспариванием кадастровой стоимости</w:t>
      </w:r>
      <w:r w:rsidR="00576DF7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земельных участков крупными налогоплательщиками.</w:t>
      </w:r>
      <w:proofErr w:type="gramEnd"/>
      <w:r w:rsidR="00576DF7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Выпадающая сумма доходов составила 6297,0 тыс. руб.</w:t>
      </w:r>
      <w:r w:rsidR="002E1028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>Льготы  по налоговым платежам.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Льготы по земельному налогу установлены:</w:t>
      </w:r>
    </w:p>
    <w:p w:rsidR="00F72521" w:rsidRPr="00D25321" w:rsidRDefault="00F72521" w:rsidP="00F72521">
      <w:pPr>
        <w:numPr>
          <w:ilvl w:val="1"/>
          <w:numId w:val="35"/>
        </w:numPr>
        <w:autoSpaceDE w:val="0"/>
        <w:spacing w:after="0" w:line="100" w:lineRule="atLeast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на основании Решений Михайловской городской Думы;</w:t>
      </w:r>
    </w:p>
    <w:p w:rsidR="00F72521" w:rsidRPr="00D25321" w:rsidRDefault="00F72521" w:rsidP="00F72521">
      <w:pPr>
        <w:numPr>
          <w:ilvl w:val="1"/>
          <w:numId w:val="35"/>
        </w:numPr>
        <w:autoSpaceDE w:val="0"/>
        <w:spacing w:after="0" w:line="100" w:lineRule="atLeast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соответствии со статьей 395 Налогового Кодекса РФ: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- органам местного самоуправления;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- Ветеранам и инвалидам ВОВ, а также ветеранам и инвалидам боевых действий;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-Героям Советского Союза, Героям Российской Федерации, полным кавалерам ордена Славы;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- инвалидам, имеющим </w:t>
      </w:r>
      <w:r w:rsidRPr="00D25321">
        <w:rPr>
          <w:rFonts w:ascii="Times New Roman" w:eastAsia="Calibri" w:hAnsi="Times New Roman" w:cs="Calibri"/>
          <w:sz w:val="24"/>
          <w:szCs w:val="24"/>
          <w:lang w:val="en-US" w:eastAsia="ar-SA"/>
        </w:rPr>
        <w:t>I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группу инвалидности, а также лицам, имеющим </w:t>
      </w:r>
      <w:r w:rsidRPr="00D25321">
        <w:rPr>
          <w:rFonts w:ascii="Times New Roman" w:eastAsia="Calibri" w:hAnsi="Times New Roman" w:cs="Calibri"/>
          <w:sz w:val="24"/>
          <w:szCs w:val="24"/>
          <w:lang w:val="en-US" w:eastAsia="ar-SA"/>
        </w:rPr>
        <w:t>II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группу инвалидности;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- инвалидам детства, лицам, имеющим на иждивении инвалидов детства;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- лицам, имеющим право на получение социальной поддержки по ФЗ РФ;</w:t>
      </w:r>
    </w:p>
    <w:p w:rsidR="00F72521" w:rsidRPr="00D25321" w:rsidRDefault="00F72521" w:rsidP="00F72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010"/>
      <w:r w:rsidRPr="00D25321">
        <w:rPr>
          <w:rFonts w:ascii="Times New Roman" w:hAnsi="Times New Roman" w:cs="Times New Roman"/>
          <w:sz w:val="24"/>
          <w:szCs w:val="24"/>
        </w:rPr>
        <w:t xml:space="preserve">          - физическим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72521" w:rsidRPr="00D25321" w:rsidRDefault="00F72521" w:rsidP="00F72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011"/>
      <w:bookmarkEnd w:id="1"/>
      <w:r w:rsidRPr="00D25321">
        <w:rPr>
          <w:rFonts w:ascii="Times New Roman" w:hAnsi="Times New Roman" w:cs="Times New Roman"/>
          <w:sz w:val="24"/>
          <w:szCs w:val="24"/>
        </w:rPr>
        <w:t xml:space="preserve">          -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2"/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-автономным учреждениям, бюджетным и казенным учреждениям, созданным органами местного самоуправления для осуществления управленческих,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социально- культурных, научно- технических функций некоммерческого характера, деятельность которых финансируется из городского бюджета.</w:t>
      </w:r>
    </w:p>
    <w:p w:rsidR="00F72521" w:rsidRPr="00D25321" w:rsidRDefault="00F72521" w:rsidP="00F72521">
      <w:pPr>
        <w:keepNext/>
        <w:spacing w:before="240" w:after="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5321">
        <w:rPr>
          <w:rFonts w:ascii="Times New Roman" w:eastAsia="Calibri" w:hAnsi="Times New Roman" w:cs="Calibri"/>
          <w:b/>
          <w:bCs/>
          <w:kern w:val="32"/>
          <w:sz w:val="24"/>
          <w:szCs w:val="24"/>
          <w:lang w:val="x-none" w:eastAsia="ar-SA"/>
        </w:rPr>
        <w:t xml:space="preserve">         </w:t>
      </w:r>
      <w:r w:rsidRPr="00D25321">
        <w:rPr>
          <w:rFonts w:ascii="Times New Roman" w:eastAsia="Calibri" w:hAnsi="Times New Roman" w:cs="Times New Roman"/>
          <w:bCs/>
          <w:kern w:val="32"/>
          <w:sz w:val="24"/>
          <w:szCs w:val="24"/>
          <w:lang w:val="x-none" w:eastAsia="ar-SA"/>
        </w:rPr>
        <w:t xml:space="preserve">Сумма выпадающих доходов по налогу на имущество в соответствии с Решением МГД     от 20.11.2014 года № 925 </w:t>
      </w:r>
      <w:r w:rsidRPr="00D25321">
        <w:rPr>
          <w:rFonts w:ascii="Times New Roman" w:hAnsi="Times New Roman" w:cs="Times New Roman"/>
          <w:bCs/>
          <w:sz w:val="24"/>
          <w:szCs w:val="24"/>
        </w:rPr>
        <w:t xml:space="preserve"> "О налоге на имущество физических лиц"</w:t>
      </w:r>
      <w:r w:rsidRPr="00D25321">
        <w:rPr>
          <w:rFonts w:ascii="Times New Roman" w:eastAsia="Calibri" w:hAnsi="Times New Roman" w:cs="Calibri"/>
          <w:bCs/>
          <w:kern w:val="32"/>
          <w:sz w:val="24"/>
          <w:szCs w:val="24"/>
          <w:lang w:val="x-none" w:eastAsia="ar-SA"/>
        </w:rPr>
        <w:t>,  составила 23,1 тыс. руб. Льгота предоставлена  совместно проживающим родителям и детям многодетных семей, признанных таковыми согласно Закону Волгоградской области от 21 ноября 2008 г. N 1775-ОД "О мерах социальной поддержки многодетных семей в Волгоградской области", за исключением детей, находящихся на полном государственном обеспечении.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>Меры принудительного взыскания задолженности и состояние задолженности по налоговым платежам.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В администрации городского округа город Михайловка продолжается работа межведомственной комиссии по мобилизации доходов в консолидированный бюджет Волгоградской области и бюджет городского округа, а также вопросам неформальной занятости. В работе комиссии принимают участие работники  налоговой службы, службы судебных приставов, начальники от</w:t>
      </w:r>
      <w:r w:rsidR="00B1783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дела администрации, руководитель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центра занятости населения, государственный инспектор по охране природы, </w:t>
      </w:r>
      <w:r w:rsidR="00576DF7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председатель КСК</w:t>
      </w:r>
      <w:r w:rsidR="004A0509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576DF7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 также представители внебюджетных государственных фондов.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Задачами комиссии являются обеспечение взаимодействия территориальных подразделений федеральных органов исполнительной власти, исполнительных органов местного самоуправления при осуществлении ими своих полномочий по формированию и увеличению налоговых и неналоговых доходов, организация работы по обеспечению выполнения требований трудового законодательства в части своевременности и полноты выплаты заработной платы. Кроме того, на заседаниях комиссии рассматриваются вопросы соблюдения работодателями оплаты труда не ниже установленного регионального минимума и снижения неформальной занятости населения.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В результате проведенной работы по сокращению неформальной занято</w:t>
      </w:r>
      <w:r w:rsidR="00B1783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сти населения было заключено 1014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трудовых договоров, в качестве индивидуальных предп</w:t>
      </w:r>
      <w:r w:rsidR="00784F66">
        <w:rPr>
          <w:rFonts w:ascii="Times New Roman" w:eastAsia="Calibri" w:hAnsi="Times New Roman" w:cs="Calibri"/>
          <w:sz w:val="24"/>
          <w:szCs w:val="24"/>
          <w:lang w:eastAsia="ar-SA"/>
        </w:rPr>
        <w:t>ринимателей зарегистрирован</w:t>
      </w:r>
      <w:r w:rsidR="00B17832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401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человек.</w:t>
      </w:r>
    </w:p>
    <w:p w:rsidR="00B17832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В 2</w:t>
      </w:r>
      <w:r w:rsidR="00B1783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017 году комиссией проведено 120 заседаний (на 16 заседаний меньше, чем в 2016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году),</w:t>
      </w:r>
      <w:r w:rsidR="00B17832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которые приглашено 2946 (-3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B1783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%) хозяйствующих субъек</w:t>
      </w:r>
      <w:r w:rsidR="00B1783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та и физических лиц, из них 1493 работодателя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по вопросам соблюдения регионального минимума по заработной плате и поступления</w:t>
      </w:r>
      <w:r w:rsidR="00B53874">
        <w:rPr>
          <w:rFonts w:ascii="Times New Roman" w:eastAsia="Calibri" w:hAnsi="Times New Roman" w:cs="Calibri"/>
          <w:sz w:val="24"/>
          <w:szCs w:val="24"/>
          <w:lang w:eastAsia="ar-SA"/>
        </w:rPr>
        <w:t>м</w:t>
      </w:r>
      <w:r w:rsidR="004A0509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НДФЛ</w:t>
      </w:r>
      <w:r w:rsidR="00B1783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F72521" w:rsidRPr="00D25321" w:rsidRDefault="00B17832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По результатам работы комиссии в 2017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</w:t>
      </w:r>
      <w:r w:rsidR="00CD6CB2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дополнительно поступило 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во все уровни бюджет</w:t>
      </w:r>
      <w:r w:rsidR="00CD6CB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CD6CB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32847,6 тыс. руб. (-9,8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</w:t>
      </w:r>
      <w:r w:rsidR="004A0509">
        <w:rPr>
          <w:rFonts w:ascii="Times New Roman" w:eastAsia="Calibri" w:hAnsi="Times New Roman" w:cs="Calibri"/>
          <w:sz w:val="24"/>
          <w:szCs w:val="24"/>
          <w:lang w:eastAsia="ar-SA"/>
        </w:rPr>
        <w:t>, по отношению к предыдущему году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>), в том числе</w:t>
      </w:r>
      <w:r w:rsidR="00E84D7F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CD6CB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за счет увеличения налоговой базы привлечено- 1948,8 тыс. руб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Однако,  несмотря  на принятые меры,  остается резерв пополнения доходной части бюджета в виде отработки оставшейся суммы текущей недоимки по налоговым платежам. Сумма  недоимки в городской б</w:t>
      </w:r>
      <w:r w:rsidR="00A14DF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юджет по состоянию на 01.01.2018 года составила 28006,4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</w:t>
      </w:r>
      <w:r w:rsidR="00A14DF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сравнению с началом предыдущего года недоимка по налоговым платежам, которые являются основными в формировании м</w:t>
      </w:r>
      <w:r w:rsidR="00A14DF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естного бюджета, выросла на 497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A14DF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4 тыс. руб. или 1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A14DF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 Недоимка увеличилась по земельному налогу,</w:t>
      </w:r>
      <w:r w:rsidR="003520D5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НДФЛ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Недоимка является текущей со сроком уплаты 01.12.2016 года. Налогоплательщикам, допустившим недоимку, требования об уплате налогов направлены в соответствии с графиком УФНС </w:t>
      </w:r>
      <w:r w:rsidR="003520D5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России по Волгоградской области.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Остальные меры принудительного взыскания будут применены к налогоплательщикам по утвержденному графику ИФНС, согласно действую</w:t>
      </w:r>
      <w:r w:rsidR="003520D5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щему законодательству,  в 2018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году.  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Сумма недоимки  по налоговым платежам, которые являются основными в форм</w:t>
      </w:r>
      <w:r w:rsidR="00A14DF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ировании местного бюджета в 2017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                                                                                 тыс. 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  <w:gridCol w:w="2027"/>
      </w:tblGrid>
      <w:tr w:rsidR="00A14DF3" w:rsidRPr="00D25321" w:rsidTr="00092A9D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521" w:rsidRPr="00D25321" w:rsidRDefault="00F72521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Недоимка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521" w:rsidRPr="00D25321" w:rsidRDefault="00F72521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НДФЛ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521" w:rsidRPr="00D25321" w:rsidRDefault="00F72521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521" w:rsidRPr="00D25321" w:rsidRDefault="00F72521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Налог на имущество физ. лиц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1" w:rsidRPr="00D25321" w:rsidRDefault="00F72521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ЕНВД</w:t>
            </w:r>
          </w:p>
        </w:tc>
      </w:tr>
      <w:tr w:rsidR="00237C68" w:rsidRPr="00D25321" w:rsidTr="00092A9D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237C68" w:rsidP="00E7665F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01.01.2017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237C68" w:rsidP="00E7665F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2565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237C68" w:rsidP="00E7665F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12905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237C68" w:rsidP="00E7665F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7077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68" w:rsidRPr="00D25321" w:rsidRDefault="00237C68" w:rsidP="00E7665F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2860</w:t>
            </w:r>
          </w:p>
        </w:tc>
      </w:tr>
      <w:tr w:rsidR="00237C68" w:rsidRPr="00D25321" w:rsidTr="00092A9D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237C68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01.01.2018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237C68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2670,9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237C68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16066,7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A14DF3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6369,9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68" w:rsidRPr="00D25321" w:rsidRDefault="00A14DF3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2898,9</w:t>
            </w:r>
          </w:p>
        </w:tc>
      </w:tr>
      <w:tr w:rsidR="00237C68" w:rsidRPr="00D25321" w:rsidTr="00092A9D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237C68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Прирост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A14DF3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105</w:t>
            </w:r>
            <w:r w:rsidR="00237C68"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,</w:t>
            </w: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</w:t>
            </w:r>
          </w:p>
          <w:p w:rsidR="00237C68" w:rsidRPr="00D25321" w:rsidRDefault="00A14DF3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(+4</w:t>
            </w:r>
            <w:r w:rsidR="00237C68"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,1%)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A14DF3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+3161,7</w:t>
            </w:r>
          </w:p>
          <w:p w:rsidR="00237C68" w:rsidRPr="00D25321" w:rsidRDefault="00A14DF3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(+24</w:t>
            </w:r>
            <w:r w:rsidR="00237C68"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,5%)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C68" w:rsidRPr="00D25321" w:rsidRDefault="00A14DF3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-707</w:t>
            </w:r>
            <w:r w:rsidR="00237C68"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,</w:t>
            </w: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237C68" w:rsidRPr="00D25321" w:rsidRDefault="00A14DF3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(-10,0</w:t>
            </w:r>
            <w:r w:rsidR="00237C68"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68" w:rsidRPr="00D25321" w:rsidRDefault="00A14DF3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+38,9</w:t>
            </w:r>
          </w:p>
          <w:p w:rsidR="00237C68" w:rsidRPr="00D25321" w:rsidRDefault="00A14DF3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(+1,3</w:t>
            </w:r>
            <w:r w:rsidR="00237C68" w:rsidRPr="00D2532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%)</w:t>
            </w:r>
          </w:p>
        </w:tc>
      </w:tr>
    </w:tbl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Поступление неналоговых доходов.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bCs/>
          <w:i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</w:t>
      </w:r>
      <w:r w:rsidR="003D3E96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Неналоговые доходы в 2017 году исполнены на 88,1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  от п</w:t>
      </w:r>
      <w:r w:rsidR="003D3E96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лана и поступили в объеме 111684,0 тыс. руб., что составляет  7,5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  суммы доходов городс</w:t>
      </w:r>
      <w:r w:rsidR="003D3E96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кого округа. По сравнению с 2016 годом, в 2017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поступления</w:t>
      </w:r>
      <w:r w:rsidR="003D3E96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уменьшились на 53548,9 тыс. руб., или на 32,4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Объем неналоговых доходов в первоначально утве</w:t>
      </w:r>
      <w:r w:rsidR="003D3E96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ржденном бюджете составил 110164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,0 тыс. руб., который в течение года уточнялся в сторону увеличения на </w:t>
      </w:r>
      <w:r w:rsidR="003D3E96" w:rsidRPr="00D25321">
        <w:rPr>
          <w:rFonts w:ascii="Times New Roman" w:eastAsia="Calibri" w:hAnsi="Times New Roman" w:cs="Calibri"/>
          <w:sz w:val="24"/>
          <w:szCs w:val="24"/>
          <w:lang w:eastAsia="ar-SA"/>
        </w:rPr>
        <w:t>1520,0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Таким образом, отклонение от первоначально у</w:t>
      </w:r>
      <w:r w:rsidR="003D3E96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твержденного плана составляет 1,4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 Структура неналоговых доходов выглядит следующим образом:</w:t>
      </w:r>
    </w:p>
    <w:p w:rsidR="00F72521" w:rsidRPr="00D25321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доходы, получаемые в виде арендной либо ино</w:t>
      </w:r>
      <w:r w:rsidR="003B54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й платы за передачу имущества  6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5,4 %;</w:t>
      </w:r>
    </w:p>
    <w:p w:rsidR="00F72521" w:rsidRPr="00D25321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доходы от продажи материал</w:t>
      </w:r>
      <w:r w:rsidR="003B54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ьных и нематериальных активов  6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3B54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F72521" w:rsidRPr="00D25321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доходы от оказания платных услуг и к</w:t>
      </w:r>
      <w:r w:rsidR="003B54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омпенсации затрат государства  9,8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F72521" w:rsidRPr="00D25321" w:rsidRDefault="003B54EB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штрафы, санкции   4,7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F72521" w:rsidRPr="00D25321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платежи за поль</w:t>
      </w:r>
      <w:r w:rsidR="003B54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зование природными ресурсами   2,2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F72521" w:rsidRPr="00D25321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перечисление части прибыли муниципал</w:t>
      </w:r>
      <w:r w:rsidR="003B54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ьных унитарных предприятий   1,8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F72521" w:rsidRPr="00D25321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прочие доходы от имущества и прав находящегося </w:t>
      </w:r>
      <w:r w:rsidR="003B54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в муниципальной собственности  8,6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%;</w:t>
      </w:r>
    </w:p>
    <w:p w:rsidR="00F72521" w:rsidRPr="00D25321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пр</w:t>
      </w:r>
      <w:r w:rsidR="003B54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очие неналоговые поступления  0,8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</w:t>
      </w:r>
    </w:p>
    <w:p w:rsidR="00F72521" w:rsidRPr="00D25321" w:rsidRDefault="00F72521" w:rsidP="00F72521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Анализ структуры неналоговых доходов показал значительное изменение удельного веса доходов, получаемых в виде арендной или иной платы за передачу имущества (с </w:t>
      </w:r>
      <w:r w:rsidR="003B54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75,4% до 6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5,4%), от продажи материальны</w:t>
      </w:r>
      <w:r w:rsidR="003B54E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х и нематериальных активов (с 8,0% до 6,7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%) и доходов от оказания платных услуг и комп</w:t>
      </w:r>
      <w:r w:rsidR="00876448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енсации затрат государства (с 8,1 % </w:t>
      </w:r>
      <w:proofErr w:type="gramStart"/>
      <w:r w:rsidR="00876448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до</w:t>
      </w:r>
      <w:proofErr w:type="gramEnd"/>
      <w:r w:rsidR="00876448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9,8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%).</w:t>
      </w:r>
    </w:p>
    <w:p w:rsidR="00F72521" w:rsidRPr="00D25321" w:rsidRDefault="00F72521" w:rsidP="00F72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2521" w:rsidRPr="00D25321" w:rsidRDefault="00F72521" w:rsidP="00F725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</w:t>
      </w:r>
      <w:r w:rsidR="00852293" w:rsidRPr="00D25321">
        <w:rPr>
          <w:noProof/>
          <w:lang w:eastAsia="ru-RU"/>
        </w:rPr>
        <w:drawing>
          <wp:inline distT="0" distB="0" distL="0" distR="0" wp14:anchorId="774F159B" wp14:editId="2FFCD48B">
            <wp:extent cx="4648200" cy="2827020"/>
            <wp:effectExtent l="0" t="0" r="1905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D25321" w:rsidRDefault="00F72521" w:rsidP="00F72521">
      <w:pPr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</w:t>
      </w:r>
      <w:r w:rsidRPr="00D2532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сост</w:t>
      </w:r>
      <w:r w:rsidR="00E1657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авляют 84646,4 тыс. руб. или 75,8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в общей сумме неналоговых  платежей.  Бюдж</w:t>
      </w:r>
      <w:r w:rsidR="00E1657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етные назначения исполнены на 8</w:t>
      </w:r>
      <w:r w:rsidR="00BE1BFA">
        <w:rPr>
          <w:rFonts w:ascii="Times New Roman" w:eastAsia="Calibri" w:hAnsi="Times New Roman" w:cs="Calibri"/>
          <w:sz w:val="24"/>
          <w:szCs w:val="24"/>
          <w:lang w:eastAsia="ar-SA"/>
        </w:rPr>
        <w:t>5,9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к ут</w:t>
      </w:r>
      <w:r w:rsidR="00C04FDE">
        <w:rPr>
          <w:rFonts w:ascii="Times New Roman" w:eastAsia="Calibri" w:hAnsi="Times New Roman" w:cs="Calibri"/>
          <w:sz w:val="24"/>
          <w:szCs w:val="24"/>
          <w:lang w:eastAsia="ar-SA"/>
        </w:rPr>
        <w:t>вержденному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плану. </w:t>
      </w:r>
      <w:r w:rsidR="00E1657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К уровню 2016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поступления у</w:t>
      </w:r>
      <w:r w:rsidR="00E1657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меньш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ились на </w:t>
      </w:r>
      <w:r w:rsidR="0027601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45235,9 тыс. руб., или на 3</w:t>
      </w:r>
      <w:r w:rsidR="00BE1BFA">
        <w:rPr>
          <w:rFonts w:ascii="Times New Roman" w:eastAsia="Calibri" w:hAnsi="Times New Roman" w:cs="Calibri"/>
          <w:sz w:val="24"/>
          <w:szCs w:val="24"/>
          <w:lang w:eastAsia="ar-SA"/>
        </w:rPr>
        <w:t>4,8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.</w:t>
      </w:r>
      <w:r w:rsidR="00E1657D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Снижение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поступлений отно</w:t>
      </w:r>
      <w:r w:rsidR="0027601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сительно прошлого года произошло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 счет </w:t>
      </w:r>
      <w:r w:rsidR="00E1657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сниж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ения доходов от сдачи в аренду имущества (</w:t>
      </w:r>
      <w:r w:rsidR="0027601D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оспаривание физическими и юридическими лицами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кадастровой стоимости земель).</w:t>
      </w:r>
      <w:r w:rsidR="00813C20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результате оспаривания крупным плательщиком (ОАО «</w:t>
      </w:r>
      <w:proofErr w:type="spellStart"/>
      <w:r w:rsidR="00813C2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Себряковцемент</w:t>
      </w:r>
      <w:proofErr w:type="spellEnd"/>
      <w:r w:rsidR="00813C2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») кадастровой стоимости земельных участков под карьерами, образовалась переплата за 2016 год, которая пошла в зачет текущих платежей.</w:t>
      </w:r>
    </w:p>
    <w:p w:rsidR="00F72521" w:rsidRPr="00D25321" w:rsidRDefault="00F72521" w:rsidP="00F72521">
      <w:pPr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Вышеуказанные доходы включают в себя: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1. </w:t>
      </w:r>
      <w:r w:rsidRPr="00D2532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Арендная или иная плата за передачу в возмездное пользование муниципального имущества</w:t>
      </w:r>
      <w:r w:rsidR="00C642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</w:t>
      </w:r>
      <w:r w:rsidR="00C00A27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тавляет 73000,0 тыс. руб. или 86,2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 от общей суммы </w:t>
      </w:r>
      <w:r w:rsidRPr="00D2532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доходов от использования имущества, находящегося в государственной и муниципальной собственности</w:t>
      </w:r>
      <w:r w:rsidR="00C642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 поступивших в 2017</w:t>
      </w:r>
      <w:r w:rsidR="003142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году.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Фактическое поступление арендной платы или иной платы за передачу в  возмездное пользование имущества относительно первоначально утвержденных п</w:t>
      </w:r>
      <w:r w:rsidR="00C642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лановых назначений составило 102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C642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 Плановые назначения у</w:t>
      </w:r>
      <w:r w:rsidR="00C642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казанных доходов исполнены на 84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C642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0 %. По сравнению с 2016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годом поступлени</w:t>
      </w:r>
      <w:r w:rsidR="00C642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я по данному виду доходов уменьшились на 51528,9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или на  </w:t>
      </w:r>
      <w:r w:rsidR="00C6425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41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,4 %. Поступления по арендным платежам сложились исходя из кадастровой стоимости земельных участков с учетом коэффициентов, применяемых</w:t>
      </w:r>
      <w:proofErr w:type="gramEnd"/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расчете арендной платы за земельные участки и поступлений от аренды муниципального имущества. </w:t>
      </w:r>
    </w:p>
    <w:p w:rsidR="00F72521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321">
        <w:rPr>
          <w:rFonts w:ascii="Calibri" w:eastAsia="Calibri" w:hAnsi="Calibri" w:cs="Calibri"/>
          <w:lang w:eastAsia="ar-SA"/>
        </w:rPr>
        <w:t xml:space="preserve">                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В целях обеспечения дополнительных поступлений и сокращения задолженности в городском округе  действует постоянная комиссия по вопросам погашения задолженности в бюджет городского округа. Отделом земельных отношений проводится работа по направлению должникам досудебных требо</w:t>
      </w:r>
      <w:r w:rsidR="00B43A52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ваний о погашении задолженности, п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роводится работа по передаче материалов в отдел по правовому обеспечению для дальнейшего взыскания в судебном порядке. За период с 01.01.201</w:t>
      </w:r>
      <w:r w:rsidR="00B43A52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7 по 31.12.2017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</w:t>
      </w:r>
      <w:r w:rsidR="00BE1B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направлено 458 (на </w:t>
      </w:r>
      <w:r w:rsidR="00B43A52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232</w:t>
      </w:r>
      <w:r w:rsidR="00BE1B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меньше, чем в предыдущем году</w:t>
      </w:r>
      <w:r w:rsidR="00B43A52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требова</w:t>
      </w:r>
      <w:r w:rsidR="00B43A52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ний на сумму 24666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B43A52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43A52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(-17127,2)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тыс. руб. В результате  работы комиссии и отдела</w:t>
      </w:r>
      <w:r w:rsidR="00076EAF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должниками оплачено арендной платы по 13</w:t>
      </w:r>
      <w:r w:rsidR="00B43A52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предъяв</w:t>
      </w:r>
      <w:r w:rsidR="00B43A52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ленным претензиям в размере 754,4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</w:t>
      </w:r>
    </w:p>
    <w:p w:rsidR="00CA0F30" w:rsidRPr="00D25321" w:rsidRDefault="00F72521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gramStart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Однако, несмотря на то, что работа по взысканию задолженности ведется активно, </w:t>
      </w:r>
      <w:r w:rsidR="00FE0B11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по состоянию на 01.01.2018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</w:t>
      </w:r>
      <w:r w:rsidR="00076EAF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арендной плате за пользование земельным участком име</w:t>
      </w:r>
      <w:r w:rsidR="00FE0B11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ется задолженность в сумме 69700,9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FE0B11" w:rsidRPr="00D25321">
        <w:rPr>
          <w:rFonts w:ascii="Times New Roman" w:eastAsia="Calibri" w:hAnsi="Times New Roman" w:cs="Calibri"/>
          <w:sz w:val="24"/>
          <w:szCs w:val="24"/>
          <w:lang w:eastAsia="ar-SA"/>
        </w:rPr>
        <w:t>(+5917,6</w:t>
      </w:r>
      <w:r w:rsidR="00314279">
        <w:rPr>
          <w:rFonts w:ascii="Times New Roman" w:eastAsia="Calibri" w:hAnsi="Times New Roman" w:cs="Calibri"/>
          <w:sz w:val="24"/>
          <w:szCs w:val="24"/>
          <w:lang w:eastAsia="ar-SA"/>
        </w:rPr>
        <w:t>, относительно предыдущего года</w:t>
      </w:r>
      <w:r w:rsidR="00FE0B1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)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тыс. руб., в том </w:t>
      </w:r>
      <w:r w:rsidR="004C63B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числе текущая задолженность 2017</w:t>
      </w:r>
      <w:r w:rsidR="007A17A0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</w:t>
      </w:r>
      <w:r w:rsidR="00870394" w:rsidRPr="00D25321">
        <w:rPr>
          <w:rFonts w:ascii="Times New Roman" w:eastAsia="Calibri" w:hAnsi="Times New Roman" w:cs="Calibri"/>
          <w:sz w:val="24"/>
          <w:szCs w:val="24"/>
          <w:lang w:eastAsia="ar-SA"/>
        </w:rPr>
        <w:t>26178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7A17A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по наиболее крупным должникам задолженность составляет  2075</w:t>
      </w:r>
      <w:r w:rsidR="007A17A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8,4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(в </w:t>
      </w:r>
      <w:proofErr w:type="spellStart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т.ч</w:t>
      </w:r>
      <w:proofErr w:type="spellEnd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., отработана задолженнос</w:t>
      </w:r>
      <w:r w:rsidR="00AA7C0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ть в полном</w:t>
      </w:r>
      <w:proofErr w:type="gramEnd"/>
      <w:r w:rsidR="00AA7C0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proofErr w:type="gramStart"/>
      <w:r w:rsidR="00AA7C0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объеме</w:t>
      </w:r>
      <w:proofErr w:type="gramEnd"/>
      <w:r w:rsidR="00AA7C0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сумме 14225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AA7C0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076EAF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076EAF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Н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 остальную задолженность  к</w:t>
      </w:r>
      <w:r w:rsidR="00AA7C0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рупных плательщиков в сумме 6211,8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направлены только досудебные требования). В целом задолженнос</w:t>
      </w:r>
      <w:r w:rsidR="005657B8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ть по сравнению с началом </w:t>
      </w:r>
      <w:r w:rsidR="007E658A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увеличилась на 5917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7E658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6 тыс. руб. или 9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7E658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%, что свидетельствует о том, что администрирование данного платежа осуществляется на недостаточном уровне.</w:t>
      </w:r>
    </w:p>
    <w:p w:rsidR="00992958" w:rsidRPr="00D25321" w:rsidRDefault="0018447D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0F30" w:rsidRPr="00D25321">
        <w:rPr>
          <w:rFonts w:ascii="Times New Roman" w:hAnsi="Times New Roman" w:cs="Times New Roman"/>
          <w:sz w:val="24"/>
          <w:szCs w:val="24"/>
        </w:rPr>
        <w:t>Администрацией городского округа не в полной мере обеспечивались полномочия администратора доходов в части сокращения задолженности по заключенным договорам</w:t>
      </w:r>
      <w:r w:rsidR="00B37FFB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</w:t>
      </w:r>
      <w:r w:rsidR="00CA0F30" w:rsidRPr="00D25321">
        <w:rPr>
          <w:rFonts w:ascii="Times New Roman" w:hAnsi="Times New Roman" w:cs="Times New Roman"/>
          <w:sz w:val="24"/>
          <w:szCs w:val="24"/>
        </w:rPr>
        <w:t xml:space="preserve">. За 2017 год общая сумма задолженности по доходам от </w:t>
      </w:r>
      <w:r w:rsidR="00BA204F" w:rsidRPr="00D25321">
        <w:rPr>
          <w:rFonts w:ascii="Times New Roman" w:hAnsi="Times New Roman" w:cs="Times New Roman"/>
          <w:sz w:val="24"/>
          <w:szCs w:val="24"/>
        </w:rPr>
        <w:t xml:space="preserve"> 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аренды муниципального имущества</w:t>
      </w:r>
      <w:r w:rsidR="00FF5C77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увеличилась на 192,6 тыс. руб. и</w:t>
      </w:r>
      <w:r w:rsidR="007E658A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992958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состоянию на 01.01.2018 года </w:t>
      </w:r>
      <w:r w:rsidR="007E658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составила 262,9 тыс. руб.</w:t>
      </w:r>
      <w:r w:rsidR="00992958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Наиболее крупные суммы задолженности имеют следующие плательщики:</w:t>
      </w:r>
    </w:p>
    <w:p w:rsidR="00D06A02" w:rsidRPr="00D25321" w:rsidRDefault="0018447D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-</w:t>
      </w:r>
      <w:r w:rsidR="00561B16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ПОУ «Михайловская автошкола»</w:t>
      </w:r>
      <w:r w:rsidR="00D06A02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136,6 тыс. руб.;</w:t>
      </w:r>
    </w:p>
    <w:p w:rsidR="00D06A02" w:rsidRPr="00D25321" w:rsidRDefault="0018447D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-</w:t>
      </w:r>
      <w:r w:rsidR="00D06A0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ОАО «</w:t>
      </w:r>
      <w:proofErr w:type="spellStart"/>
      <w:r w:rsidR="00D06A0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Себряковтелеком</w:t>
      </w:r>
      <w:proofErr w:type="spellEnd"/>
      <w:r w:rsidR="00D06A02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»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75,7 тыс. руб.;</w:t>
      </w:r>
    </w:p>
    <w:p w:rsidR="0018447D" w:rsidRPr="00D25321" w:rsidRDefault="0018447D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     -ООО «Волос» 30,7 тыс. руб.</w:t>
      </w:r>
    </w:p>
    <w:p w:rsidR="00F72521" w:rsidRPr="00D25321" w:rsidRDefault="0018447D" w:rsidP="00F7252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</w:t>
      </w:r>
      <w:proofErr w:type="gramStart"/>
      <w:r w:rsidR="00992958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Для взыскания задолженности по состоянию на 01.01.2018 года администрацией применены следующие меры принудительного взыскания: направлены претензии на сумму 162,9 тыс. руб., передано в правовой отдел для взыскания задолженности  в судебном порядк</w:t>
      </w:r>
      <w:r w:rsidR="00685D87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е материалы на сумму 177</w:t>
      </w:r>
      <w:r w:rsidR="00992958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685D87" w:rsidRPr="00D25321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="00992958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то есть </w:t>
      </w:r>
      <w:r w:rsidR="00992958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задолженность отработана не в полном объеме и 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остается резерв пополнения доходной части бюджета. </w:t>
      </w:r>
      <w:proofErr w:type="gramEnd"/>
    </w:p>
    <w:p w:rsidR="00F94AF9" w:rsidRPr="00D25321" w:rsidRDefault="00F72521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2. </w:t>
      </w:r>
      <w:proofErr w:type="gramStart"/>
      <w:r w:rsidR="00F94AF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В соответствии со ст.</w:t>
      </w:r>
      <w:r w:rsidR="00076EAF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F94AF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62 БК РФ неналоговые доходы местных бюджетов формируются в соответствии со ст. 41,42 и 46 БК РФ, в том числе за счет части прибыли МУП,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D74E79" w:rsidRPr="00D25321" w:rsidRDefault="00D74E79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</w:t>
      </w:r>
      <w:r w:rsidR="00F444BB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DF01C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Пунктом </w:t>
      </w:r>
      <w:r w:rsidR="009B7D9C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2.3. </w:t>
      </w:r>
      <w:proofErr w:type="gramStart"/>
      <w:r w:rsidR="009B7D9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Решения Михайловской городской Думы Волгоградской обл</w:t>
      </w:r>
      <w:r w:rsidR="00076EAF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асти от 16.04.2014 года № 876 «</w:t>
      </w:r>
      <w:r w:rsidR="009B7D9C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 утверждении Порядка определения размера части прибыли, подлежащей перечислению в бюджет городского округа город Михайловка Волгоградской области муниципальными унитарными предприятиями» </w:t>
      </w:r>
      <w:r w:rsidR="00DF01C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предусмотрено, что </w:t>
      </w:r>
      <w:r w:rsidR="009B7D9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размер части прибыли, подлежащей перечислению в бюджет городского округа муниципальным унитарным предприятиям, устанавливается Михайловской городской Думой и не может быть более 25% и менее 10%, остающейся в распоряжении</w:t>
      </w:r>
      <w:proofErr w:type="gramEnd"/>
      <w:r w:rsidR="009B7D9C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муниципальных унитарных предприятий прибыли после уплаты налогов и иных обязательных платежей на очередной финансовый год. </w:t>
      </w:r>
      <w:r w:rsidR="000054C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Пунктом 3.1. вышеуказанного Решения установлен срок  уплаты части прибыли, остающейся в распоряжении МУП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а именно,  </w:t>
      </w:r>
      <w:r w:rsidR="00C231A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до 1 августа</w:t>
      </w:r>
      <w:r w:rsidR="000054CA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</w:p>
    <w:p w:rsidR="00EF1466" w:rsidRPr="00D25321" w:rsidRDefault="00D74E79" w:rsidP="00DF01C9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="000054CA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Решением Михайловской городской Думы Волгоградской области от 11.06.2014 года № 882 «Об установлении размера отчислений части прибыли муниципальных унитарных предприятий, </w:t>
      </w:r>
      <w:r w:rsidR="00C231A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подлежащей перечислению в бюджет городского округа город Михайловка Волгоградской области» утвержден р</w:t>
      </w:r>
      <w:r w:rsidR="000054C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азмер части прибыли, остающейся в распоряжении муниципальных унитарных предприятий</w:t>
      </w:r>
      <w:r w:rsidR="00C231A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 подлеж</w:t>
      </w:r>
      <w:r w:rsidR="0003175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ащей перечислению в бюджет – 15 процентов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0054CA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  <w:r w:rsidR="00C231A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Согласно протоколу заседания балансовой комиссии по определению эффективности деятельности муниципальных унитарных предприятий</w:t>
      </w:r>
      <w:r w:rsidR="0041069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C231AC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итогам работы за 2016 год</w:t>
      </w:r>
      <w:r w:rsidR="0041069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C231AC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 27.04.2017 года результатом хозяйственной деятельности шести муниципальных унитарных предприятий из девяти является прибыль. 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Постановлением Администрации городского округа город Михайл</w:t>
      </w:r>
      <w:r w:rsidR="00E7665F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овка Волгоградской области от 11.07.2017 г.</w:t>
      </w:r>
      <w:r w:rsidR="005D50FE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E7665F" w:rsidRPr="00D25321">
        <w:rPr>
          <w:rFonts w:ascii="Times New Roman" w:eastAsia="Calibri" w:hAnsi="Times New Roman" w:cs="Calibri"/>
          <w:sz w:val="24"/>
          <w:szCs w:val="24"/>
          <w:lang w:eastAsia="ar-SA"/>
        </w:rPr>
        <w:t>№ 1730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«О перечислении части прибыли муниципальных унитарных предприятий в бюджет городского округа город Михайловка Волгоградской области»</w:t>
      </w:r>
      <w:r w:rsidR="00DF01C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установлено, что муниципальным унитарным предприятиям</w:t>
      </w:r>
      <w:r w:rsidR="002A01D4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DF01C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срок до 1 августа</w:t>
      </w:r>
      <w:r w:rsidR="002A01D4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385EE5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необходимо перечислить 15 процентов </w:t>
      </w:r>
      <w:r w:rsidR="00DF01C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5D50FE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части прибыли</w:t>
      </w:r>
      <w:r w:rsidR="00DF01C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 оставшейся после уплаты налогов</w:t>
      </w:r>
      <w:r w:rsidR="007942A5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r w:rsidR="00DF01C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бюджет города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DF01C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Проверкой установлено</w:t>
      </w:r>
      <w:r w:rsidR="004723DB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 что муниципальное унитарное предприятие</w:t>
      </w:r>
      <w:r w:rsidR="00DF01C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«МВКХ</w:t>
      </w:r>
      <w:r w:rsidR="004723DB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» </w:t>
      </w:r>
      <w:r w:rsidR="00410693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15 % </w:t>
      </w:r>
      <w:r w:rsidR="00410693" w:rsidRPr="00D25321">
        <w:rPr>
          <w:rFonts w:ascii="Times New Roman" w:hAnsi="Times New Roman" w:cs="Times New Roman"/>
          <w:sz w:val="24"/>
          <w:szCs w:val="24"/>
        </w:rPr>
        <w:t>части прибыли, остающейся в распоряжении МУП, подлежащей перечислению в бюджет городского округа город Михайловка Волгоградской области</w:t>
      </w:r>
      <w:r w:rsidR="00410693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 2016 год составило 206,4 тыс. руб.</w:t>
      </w:r>
      <w:r w:rsidR="00410693" w:rsidRPr="00D25321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="0041069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В бюджет данная сумма не перечислена. Кроме того,</w:t>
      </w:r>
      <w:r w:rsidR="00031752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</w:t>
      </w:r>
      <w:r w:rsidR="005B5ED3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МУП «Прометей»</w:t>
      </w:r>
      <w:r w:rsidR="00B37FF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часть прибыли в сумме</w:t>
      </w:r>
      <w:r w:rsidR="005B5ED3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34,45 тыс. руб. перечислены в бюджет с нарушением установленного срока</w:t>
      </w:r>
      <w:r w:rsidR="0041069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 а именно,</w:t>
      </w:r>
      <w:r w:rsidR="005B5ED3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7D1A3A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02 августа </w:t>
      </w:r>
      <w:r w:rsidR="0003175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2017 года.</w:t>
      </w:r>
      <w:r w:rsidR="00031752" w:rsidRPr="00D2532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 </w:t>
      </w:r>
    </w:p>
    <w:p w:rsidR="00F94AF9" w:rsidRPr="00D25321" w:rsidRDefault="00F94AF9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545"/>
        <w:gridCol w:w="3359"/>
        <w:gridCol w:w="1889"/>
        <w:gridCol w:w="1891"/>
        <w:gridCol w:w="1887"/>
      </w:tblGrid>
      <w:tr w:rsidR="004706A0" w:rsidRPr="00D25321" w:rsidTr="005B5ED3">
        <w:tc>
          <w:tcPr>
            <w:tcW w:w="284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п</w:t>
            </w:r>
            <w:proofErr w:type="gramEnd"/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55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Муниципальные унитарные предприятия</w:t>
            </w:r>
          </w:p>
        </w:tc>
        <w:tc>
          <w:tcPr>
            <w:tcW w:w="987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Чистая</w:t>
            </w:r>
          </w:p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 xml:space="preserve"> Прибыль</w:t>
            </w:r>
          </w:p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ф. по ОКУД</w:t>
            </w:r>
          </w:p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0710002</w:t>
            </w:r>
          </w:p>
        </w:tc>
        <w:tc>
          <w:tcPr>
            <w:tcW w:w="988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Сумма, подлежащая перечислению в бюджет (тыс. руб.)</w:t>
            </w:r>
          </w:p>
        </w:tc>
        <w:tc>
          <w:tcPr>
            <w:tcW w:w="987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 xml:space="preserve">Фактически перечислено в бюджет городского округа </w:t>
            </w:r>
          </w:p>
        </w:tc>
      </w:tr>
      <w:tr w:rsidR="004706A0" w:rsidRPr="00D25321" w:rsidTr="005B5ED3">
        <w:tc>
          <w:tcPr>
            <w:tcW w:w="284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55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МУП «</w:t>
            </w:r>
            <w:proofErr w:type="spellStart"/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Михайловкажилпромгаз</w:t>
            </w:r>
            <w:proofErr w:type="spellEnd"/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87" w:type="pct"/>
          </w:tcPr>
          <w:p w:rsidR="00F72521" w:rsidRPr="00D25321" w:rsidRDefault="00E7665F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9876</w:t>
            </w:r>
            <w:r w:rsidR="00F72521" w:rsidRPr="00D25321">
              <w:rPr>
                <w:rFonts w:eastAsia="Calibri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8" w:type="pct"/>
          </w:tcPr>
          <w:p w:rsidR="00F72521" w:rsidRPr="00D25321" w:rsidRDefault="00E7665F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1481,4</w:t>
            </w:r>
          </w:p>
        </w:tc>
        <w:tc>
          <w:tcPr>
            <w:tcW w:w="987" w:type="pct"/>
          </w:tcPr>
          <w:p w:rsidR="00F72521" w:rsidRPr="00D25321" w:rsidRDefault="00511483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пл. пор.№ 571 от 1</w:t>
            </w:r>
            <w:r w:rsidR="00F72521" w:rsidRPr="00D25321">
              <w:rPr>
                <w:rFonts w:eastAsia="Calibri" w:cs="Calibri"/>
                <w:lang w:eastAsia="ar-SA"/>
              </w:rPr>
              <w:t>3.0</w:t>
            </w:r>
            <w:r w:rsidRPr="00D25321">
              <w:rPr>
                <w:rFonts w:eastAsia="Calibri" w:cs="Calibri"/>
                <w:lang w:eastAsia="ar-SA"/>
              </w:rPr>
              <w:t>7</w:t>
            </w:r>
            <w:r w:rsidR="00F72521" w:rsidRPr="00D25321">
              <w:rPr>
                <w:rFonts w:eastAsia="Calibri" w:cs="Calibri"/>
                <w:lang w:eastAsia="ar-SA"/>
              </w:rPr>
              <w:t>.201</w:t>
            </w:r>
            <w:r w:rsidRPr="00D25321">
              <w:rPr>
                <w:rFonts w:eastAsia="Calibri" w:cs="Calibri"/>
                <w:lang w:eastAsia="ar-SA"/>
              </w:rPr>
              <w:t>7 на сумму 1481</w:t>
            </w:r>
            <w:r w:rsidR="00F72521" w:rsidRPr="00D25321">
              <w:rPr>
                <w:rFonts w:eastAsia="Calibri" w:cs="Calibri"/>
                <w:lang w:eastAsia="ar-SA"/>
              </w:rPr>
              <w:t>,</w:t>
            </w:r>
            <w:r w:rsidRPr="00D25321">
              <w:rPr>
                <w:rFonts w:eastAsia="Calibri" w:cs="Calibri"/>
                <w:lang w:eastAsia="ar-SA"/>
              </w:rPr>
              <w:t>4</w:t>
            </w:r>
            <w:r w:rsidR="00F72521" w:rsidRPr="00D25321">
              <w:rPr>
                <w:rFonts w:eastAsia="Calibri" w:cs="Calibri"/>
                <w:lang w:eastAsia="ar-SA"/>
              </w:rPr>
              <w:t xml:space="preserve"> тыс. руб.</w:t>
            </w:r>
          </w:p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4706A0" w:rsidRPr="00D25321" w:rsidTr="005B5ED3">
        <w:tc>
          <w:tcPr>
            <w:tcW w:w="284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2</w:t>
            </w:r>
            <w:r w:rsidR="00F72521" w:rsidRPr="00D25321">
              <w:rPr>
                <w:rFonts w:eastAsia="Calibri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5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 xml:space="preserve">МУП «Банно-прачечный </w:t>
            </w: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комбинат»</w:t>
            </w:r>
          </w:p>
        </w:tc>
        <w:tc>
          <w:tcPr>
            <w:tcW w:w="987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-1114</w:t>
            </w:r>
            <w:r w:rsidR="00F72521" w:rsidRPr="00D25321">
              <w:rPr>
                <w:rFonts w:eastAsia="Calibri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8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7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4706A0" w:rsidRPr="00D25321" w:rsidTr="005B5ED3">
        <w:tc>
          <w:tcPr>
            <w:tcW w:w="284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3</w:t>
            </w:r>
            <w:r w:rsidR="00F72521" w:rsidRPr="00D25321">
              <w:rPr>
                <w:rFonts w:eastAsia="Calibri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5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МУП «Муниципальная аптека»</w:t>
            </w:r>
          </w:p>
        </w:tc>
        <w:tc>
          <w:tcPr>
            <w:tcW w:w="987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1651,0</w:t>
            </w:r>
          </w:p>
        </w:tc>
        <w:tc>
          <w:tcPr>
            <w:tcW w:w="988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247,65</w:t>
            </w:r>
          </w:p>
        </w:tc>
        <w:tc>
          <w:tcPr>
            <w:tcW w:w="987" w:type="pct"/>
          </w:tcPr>
          <w:p w:rsidR="00F72521" w:rsidRPr="00D25321" w:rsidRDefault="00F72521" w:rsidP="00511483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 xml:space="preserve">пл. </w:t>
            </w:r>
            <w:r w:rsidR="00511483" w:rsidRPr="00D25321">
              <w:rPr>
                <w:rFonts w:eastAsia="Calibri" w:cs="Calibri"/>
                <w:lang w:eastAsia="ar-SA"/>
              </w:rPr>
              <w:t>пор.№ 589 от 14</w:t>
            </w:r>
            <w:r w:rsidRPr="00D25321">
              <w:rPr>
                <w:rFonts w:eastAsia="Calibri" w:cs="Calibri"/>
                <w:lang w:eastAsia="ar-SA"/>
              </w:rPr>
              <w:t>.0</w:t>
            </w:r>
            <w:r w:rsidR="00511483" w:rsidRPr="00D25321">
              <w:rPr>
                <w:rFonts w:eastAsia="Calibri" w:cs="Calibri"/>
                <w:lang w:eastAsia="ar-SA"/>
              </w:rPr>
              <w:t>7.2017 на сумму 247,6</w:t>
            </w:r>
            <w:r w:rsidRPr="00D25321">
              <w:rPr>
                <w:rFonts w:eastAsia="Calibri" w:cs="Calibri"/>
                <w:lang w:eastAsia="ar-SA"/>
              </w:rPr>
              <w:t xml:space="preserve"> тыс. руб.</w:t>
            </w:r>
          </w:p>
        </w:tc>
      </w:tr>
      <w:tr w:rsidR="004706A0" w:rsidRPr="00D25321" w:rsidTr="005B5ED3">
        <w:tc>
          <w:tcPr>
            <w:tcW w:w="284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4</w:t>
            </w:r>
            <w:r w:rsidR="00F72521" w:rsidRPr="00D25321">
              <w:rPr>
                <w:rFonts w:eastAsia="Calibri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5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МУП «Прометей»</w:t>
            </w:r>
          </w:p>
        </w:tc>
        <w:tc>
          <w:tcPr>
            <w:tcW w:w="987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1263</w:t>
            </w:r>
            <w:r w:rsidR="00F72521" w:rsidRPr="00D25321">
              <w:rPr>
                <w:rFonts w:eastAsia="Calibri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8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189,45</w:t>
            </w:r>
            <w:r w:rsidR="00F72521" w:rsidRPr="00D25321">
              <w:rPr>
                <w:rFonts w:eastAsia="Calibri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7" w:type="pct"/>
          </w:tcPr>
          <w:p w:rsidR="00F72521" w:rsidRPr="00D25321" w:rsidRDefault="00511483" w:rsidP="00FC41DE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proofErr w:type="gramStart"/>
            <w:r w:rsidRPr="00D25321">
              <w:rPr>
                <w:rFonts w:eastAsia="Calibri" w:cs="Calibri"/>
                <w:lang w:eastAsia="ar-SA"/>
              </w:rPr>
              <w:t>пл. пор.№ 1594 от 27</w:t>
            </w:r>
            <w:r w:rsidR="00F72521" w:rsidRPr="00D25321">
              <w:rPr>
                <w:rFonts w:eastAsia="Calibri" w:cs="Calibri"/>
                <w:lang w:eastAsia="ar-SA"/>
              </w:rPr>
              <w:t>.07.201</w:t>
            </w:r>
            <w:r w:rsidRPr="00D25321">
              <w:rPr>
                <w:rFonts w:eastAsia="Calibri" w:cs="Calibri"/>
                <w:lang w:eastAsia="ar-SA"/>
              </w:rPr>
              <w:t>7 на сумму 55</w:t>
            </w:r>
            <w:r w:rsidR="00F72521" w:rsidRPr="00D25321">
              <w:rPr>
                <w:rFonts w:eastAsia="Calibri" w:cs="Calibri"/>
                <w:lang w:eastAsia="ar-SA"/>
              </w:rPr>
              <w:t xml:space="preserve">,0 тыс. руб., </w:t>
            </w:r>
            <w:r w:rsidR="00FC41DE" w:rsidRPr="00D25321">
              <w:rPr>
                <w:rFonts w:eastAsia="Calibri" w:cs="Calibri"/>
                <w:lang w:eastAsia="ar-SA"/>
              </w:rPr>
              <w:t>пл. пор.№ 1596 от 31.07.2017 на сумму 100,0</w:t>
            </w:r>
            <w:r w:rsidR="00F72521" w:rsidRPr="00D25321">
              <w:rPr>
                <w:rFonts w:eastAsia="Calibri" w:cs="Calibri"/>
                <w:lang w:eastAsia="ar-SA"/>
              </w:rPr>
              <w:t xml:space="preserve"> тыс. руб., </w:t>
            </w:r>
            <w:r w:rsidR="00FC41DE" w:rsidRPr="00D25321">
              <w:rPr>
                <w:rFonts w:eastAsia="Calibri" w:cs="Calibri"/>
                <w:lang w:eastAsia="ar-SA"/>
              </w:rPr>
              <w:t>пл. пор.№ 1599 от 02.08.2017 на сумму 34,5</w:t>
            </w:r>
            <w:r w:rsidR="00F72521" w:rsidRPr="00D25321">
              <w:rPr>
                <w:rFonts w:eastAsia="Calibri" w:cs="Calibri"/>
                <w:lang w:eastAsia="ar-SA"/>
              </w:rPr>
              <w:t xml:space="preserve"> тыс. руб.</w:t>
            </w:r>
            <w:proofErr w:type="gramEnd"/>
          </w:p>
        </w:tc>
      </w:tr>
      <w:tr w:rsidR="004706A0" w:rsidRPr="00D25321" w:rsidTr="005B5ED3">
        <w:tc>
          <w:tcPr>
            <w:tcW w:w="284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55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 xml:space="preserve">МУП Михайловский </w:t>
            </w:r>
            <w:proofErr w:type="spellStart"/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Райкомхоз</w:t>
            </w:r>
            <w:proofErr w:type="spellEnd"/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87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375</w:t>
            </w:r>
            <w:r w:rsidR="00F72521" w:rsidRPr="00D25321">
              <w:rPr>
                <w:rFonts w:eastAsia="Calibri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8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56,3</w:t>
            </w:r>
          </w:p>
        </w:tc>
        <w:tc>
          <w:tcPr>
            <w:tcW w:w="987" w:type="pct"/>
          </w:tcPr>
          <w:p w:rsidR="00F72521" w:rsidRPr="00D25321" w:rsidRDefault="00511483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пл. пор.№ 492 от 24.07.2017 на сумму 56,3</w:t>
            </w:r>
            <w:r w:rsidR="00F72521" w:rsidRPr="00D25321">
              <w:rPr>
                <w:rFonts w:eastAsia="Calibri" w:cs="Calibri"/>
                <w:lang w:eastAsia="ar-SA"/>
              </w:rPr>
              <w:t xml:space="preserve"> тыс. руб.</w:t>
            </w:r>
          </w:p>
        </w:tc>
      </w:tr>
      <w:tr w:rsidR="004706A0" w:rsidRPr="00D25321" w:rsidTr="005B5ED3">
        <w:tc>
          <w:tcPr>
            <w:tcW w:w="284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6</w:t>
            </w:r>
            <w:r w:rsidR="00F72521" w:rsidRPr="00D25321">
              <w:rPr>
                <w:rFonts w:eastAsia="Calibri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5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МУП «Весна»</w:t>
            </w:r>
          </w:p>
        </w:tc>
        <w:tc>
          <w:tcPr>
            <w:tcW w:w="987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196</w:t>
            </w:r>
            <w:r w:rsidR="00F72521" w:rsidRPr="00D25321">
              <w:rPr>
                <w:rFonts w:eastAsia="Calibri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8" w:type="pct"/>
          </w:tcPr>
          <w:p w:rsidR="00F72521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29,4</w:t>
            </w:r>
          </w:p>
        </w:tc>
        <w:tc>
          <w:tcPr>
            <w:tcW w:w="987" w:type="pct"/>
          </w:tcPr>
          <w:p w:rsidR="00F72521" w:rsidRPr="00D25321" w:rsidRDefault="00FC41DE" w:rsidP="00FC41DE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пл. пор. № 287 от 31</w:t>
            </w:r>
            <w:r w:rsidR="00F72521" w:rsidRPr="00D25321">
              <w:rPr>
                <w:rFonts w:eastAsia="Calibri" w:cs="Calibri"/>
                <w:lang w:eastAsia="ar-SA"/>
              </w:rPr>
              <w:t>.07.201</w:t>
            </w:r>
            <w:r w:rsidRPr="00D25321">
              <w:rPr>
                <w:rFonts w:eastAsia="Calibri" w:cs="Calibri"/>
                <w:lang w:eastAsia="ar-SA"/>
              </w:rPr>
              <w:t>7  на сумму 29</w:t>
            </w:r>
            <w:r w:rsidR="00F72521" w:rsidRPr="00D25321">
              <w:rPr>
                <w:rFonts w:eastAsia="Calibri" w:cs="Calibri"/>
                <w:lang w:eastAsia="ar-SA"/>
              </w:rPr>
              <w:t>,</w:t>
            </w:r>
            <w:r w:rsidRPr="00D25321">
              <w:rPr>
                <w:rFonts w:eastAsia="Calibri" w:cs="Calibri"/>
                <w:lang w:eastAsia="ar-SA"/>
              </w:rPr>
              <w:t>4</w:t>
            </w:r>
            <w:r w:rsidR="00F72521" w:rsidRPr="00D25321">
              <w:rPr>
                <w:rFonts w:eastAsia="Calibri" w:cs="Calibri"/>
                <w:lang w:eastAsia="ar-SA"/>
              </w:rPr>
              <w:t xml:space="preserve"> тыс. руб.</w:t>
            </w:r>
          </w:p>
        </w:tc>
      </w:tr>
      <w:tr w:rsidR="004706A0" w:rsidRPr="00D25321" w:rsidTr="005B5ED3">
        <w:tc>
          <w:tcPr>
            <w:tcW w:w="284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755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МУП «МВКХ»</w:t>
            </w:r>
          </w:p>
        </w:tc>
        <w:tc>
          <w:tcPr>
            <w:tcW w:w="987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1376,0</w:t>
            </w:r>
          </w:p>
        </w:tc>
        <w:tc>
          <w:tcPr>
            <w:tcW w:w="988" w:type="pct"/>
          </w:tcPr>
          <w:p w:rsidR="00E57055" w:rsidRPr="00D25321" w:rsidRDefault="00E57055" w:rsidP="007D1A3A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 xml:space="preserve">206,4 </w:t>
            </w:r>
          </w:p>
        </w:tc>
        <w:tc>
          <w:tcPr>
            <w:tcW w:w="987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4706A0" w:rsidRPr="00D25321" w:rsidTr="005B5ED3">
        <w:tc>
          <w:tcPr>
            <w:tcW w:w="284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755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МУП «Диана»</w:t>
            </w:r>
          </w:p>
        </w:tc>
        <w:tc>
          <w:tcPr>
            <w:tcW w:w="987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-151,0</w:t>
            </w:r>
          </w:p>
        </w:tc>
        <w:tc>
          <w:tcPr>
            <w:tcW w:w="988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7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E57055" w:rsidRPr="00D25321" w:rsidTr="005B5ED3">
        <w:tc>
          <w:tcPr>
            <w:tcW w:w="284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755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МУП «Рыба»</w:t>
            </w:r>
          </w:p>
        </w:tc>
        <w:tc>
          <w:tcPr>
            <w:tcW w:w="987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-431,0</w:t>
            </w:r>
          </w:p>
        </w:tc>
        <w:tc>
          <w:tcPr>
            <w:tcW w:w="988" w:type="pct"/>
          </w:tcPr>
          <w:p w:rsidR="00E57055" w:rsidRPr="00D25321" w:rsidRDefault="00511483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7" w:type="pct"/>
          </w:tcPr>
          <w:p w:rsidR="00E57055" w:rsidRPr="00D25321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4706A0" w:rsidRPr="00D25321" w:rsidTr="005B5ED3">
        <w:tc>
          <w:tcPr>
            <w:tcW w:w="284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87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88" w:type="pct"/>
          </w:tcPr>
          <w:p w:rsidR="00F72521" w:rsidRPr="00D25321" w:rsidRDefault="007D1A3A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2210,6</w:t>
            </w:r>
          </w:p>
        </w:tc>
        <w:tc>
          <w:tcPr>
            <w:tcW w:w="987" w:type="pct"/>
          </w:tcPr>
          <w:p w:rsidR="00F72521" w:rsidRPr="00D25321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</w:tbl>
    <w:p w:rsidR="005B5ED3" w:rsidRPr="00D25321" w:rsidRDefault="005B5ED3" w:rsidP="005B5ED3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        Доходы от перечисления </w:t>
      </w:r>
      <w:proofErr w:type="gramStart"/>
      <w:r w:rsidRPr="00D2532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части прибыли, остающейся после уплаты налогов 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за 2016 год составили</w:t>
      </w:r>
      <w:proofErr w:type="gramEnd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2004,2 тыс. руб., что составляет 2,4 % от 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общей суммы </w:t>
      </w:r>
      <w:r w:rsidRPr="00D2532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доходов от использования имущества, находящегося в государственной и муниципальной собственности.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F72521" w:rsidRPr="00D25321" w:rsidRDefault="00F72521" w:rsidP="00F72521">
      <w:pPr>
        <w:tabs>
          <w:tab w:val="left" w:pos="615"/>
        </w:tabs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      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Выполнение поступлений по отношению к ут</w:t>
      </w:r>
      <w:r w:rsidR="00C04FDE">
        <w:rPr>
          <w:rFonts w:ascii="Times New Roman" w:eastAsia="Calibri" w:hAnsi="Times New Roman" w:cs="Calibri"/>
          <w:sz w:val="24"/>
          <w:szCs w:val="24"/>
          <w:lang w:eastAsia="ar-SA"/>
        </w:rPr>
        <w:t>вержденному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плану  составля</w:t>
      </w:r>
      <w:r w:rsidR="006E1158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ет 100,0 %, предыдущему году 72,4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%. </w:t>
      </w:r>
    </w:p>
    <w:p w:rsidR="00C46523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</w:t>
      </w:r>
      <w:r w:rsidR="009B072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3. </w:t>
      </w:r>
      <w:r w:rsidRPr="00D2532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Прочие доходы от использования имущества и прав, находящихся в муниципальной собственности</w:t>
      </w:r>
      <w:r w:rsidR="007E658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  составляют    9642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7E658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1 тыс. руб., или 11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7E658A" w:rsidRPr="00D25321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от 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общей суммы </w:t>
      </w:r>
      <w:r w:rsidRPr="00D2532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доходов от использования имущества, находящегося в государственной и муниципальной собственности.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Отклонение от  ут</w:t>
      </w:r>
      <w:r w:rsidR="00C04FDE">
        <w:rPr>
          <w:rFonts w:ascii="Times New Roman" w:eastAsia="Calibri" w:hAnsi="Times New Roman" w:cs="Calibri"/>
          <w:sz w:val="24"/>
          <w:szCs w:val="24"/>
          <w:lang w:eastAsia="ar-SA"/>
        </w:rPr>
        <w:t>вержденных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плановых показателей  (</w:t>
      </w:r>
      <w:r w:rsidR="00C4652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-2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,9) тыс. руб., или (0,</w:t>
      </w:r>
      <w:r w:rsidR="00C4652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0</w:t>
      </w:r>
      <w:r w:rsidR="00740911" w:rsidRPr="00D25321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%), от первоначального плана на 201</w:t>
      </w:r>
      <w:r w:rsidR="00C4652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 год (-657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,9) тыс. руб. или (</w:t>
      </w:r>
      <w:r w:rsidR="00C4652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-6,4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) %.</w:t>
      </w:r>
    </w:p>
    <w:p w:rsidR="00A20BEC" w:rsidRPr="00D25321" w:rsidRDefault="00F72521" w:rsidP="00D7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</w:t>
      </w:r>
      <w:r w:rsidRPr="00D2532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Доходы от  продажи материальных и нематериальных активов</w:t>
      </w:r>
      <w:r w:rsidR="00E23825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 а именно</w:t>
      </w:r>
      <w:r w:rsidR="00A4084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E23825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</w:t>
      </w:r>
      <w:r w:rsidR="00A20BEC" w:rsidRPr="00D25321">
        <w:rPr>
          <w:rFonts w:ascii="Times New Roman" w:hAnsi="Times New Roman" w:cs="Times New Roman"/>
          <w:sz w:val="24"/>
          <w:szCs w:val="24"/>
        </w:rPr>
        <w:t>актические поступления по доходам от реализации имущества в 2017 году составили 7532,2 тыс. рублей (76,7 %) от плана с учетом всех внесенных изменений (9815</w:t>
      </w:r>
      <w:r w:rsidR="00E23825" w:rsidRPr="00D25321">
        <w:rPr>
          <w:rFonts w:ascii="Times New Roman" w:hAnsi="Times New Roman" w:cs="Times New Roman"/>
          <w:sz w:val="24"/>
          <w:szCs w:val="24"/>
        </w:rPr>
        <w:t>,0 тыс. руб.).</w:t>
      </w:r>
      <w:r w:rsidR="00D73E22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A4084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К уровню 2016 года общая сумма поступлений уменьшилась на 43,6 %</w:t>
      </w:r>
      <w:r w:rsidR="00C1306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D73E22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общей сумме </w:t>
      </w:r>
      <w:r w:rsidR="00B37FF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неналоговых </w:t>
      </w:r>
      <w:r w:rsidR="00740911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доходов</w:t>
      </w:r>
      <w:r w:rsidR="00B37F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40911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23825" w:rsidRPr="00D25321">
        <w:rPr>
          <w:rFonts w:ascii="Times New Roman" w:hAnsi="Times New Roman" w:cs="Times New Roman"/>
          <w:sz w:val="24"/>
          <w:szCs w:val="24"/>
        </w:rPr>
        <w:t>доходы от реализации имущества составляют</w:t>
      </w:r>
      <w:r w:rsidR="00740911" w:rsidRPr="00D25321">
        <w:rPr>
          <w:rFonts w:ascii="Times New Roman" w:hAnsi="Times New Roman" w:cs="Times New Roman"/>
          <w:sz w:val="24"/>
          <w:szCs w:val="24"/>
        </w:rPr>
        <w:t xml:space="preserve"> </w:t>
      </w:r>
      <w:r w:rsidR="00B37FFB">
        <w:rPr>
          <w:rFonts w:ascii="Times New Roman" w:hAnsi="Times New Roman" w:cs="Times New Roman"/>
          <w:sz w:val="24"/>
          <w:szCs w:val="24"/>
        </w:rPr>
        <w:t>6,7</w:t>
      </w:r>
      <w:r w:rsidR="00E23825" w:rsidRPr="00D25321">
        <w:rPr>
          <w:rFonts w:ascii="Times New Roman" w:hAnsi="Times New Roman" w:cs="Times New Roman"/>
          <w:sz w:val="24"/>
          <w:szCs w:val="24"/>
        </w:rPr>
        <w:t xml:space="preserve"> </w:t>
      </w:r>
      <w:r w:rsidR="00057D15" w:rsidRPr="00D25321">
        <w:rPr>
          <w:rFonts w:ascii="Times New Roman" w:hAnsi="Times New Roman" w:cs="Times New Roman"/>
          <w:sz w:val="24"/>
          <w:szCs w:val="24"/>
        </w:rPr>
        <w:t>%,</w:t>
      </w:r>
      <w:r w:rsidR="00A4084D" w:rsidRPr="00D25321">
        <w:rPr>
          <w:rFonts w:ascii="Times New Roman" w:hAnsi="Times New Roman" w:cs="Times New Roman"/>
          <w:sz w:val="24"/>
          <w:szCs w:val="24"/>
        </w:rPr>
        <w:t xml:space="preserve"> </w:t>
      </w:r>
      <w:r w:rsidR="00D73E22" w:rsidRPr="00D25321">
        <w:rPr>
          <w:rFonts w:ascii="Times New Roman" w:hAnsi="Times New Roman" w:cs="Times New Roman"/>
          <w:sz w:val="24"/>
          <w:szCs w:val="24"/>
        </w:rPr>
        <w:t xml:space="preserve"> </w:t>
      </w:r>
      <w:r w:rsidR="00057D15" w:rsidRPr="00D25321">
        <w:rPr>
          <w:rFonts w:ascii="Times New Roman" w:hAnsi="Times New Roman" w:cs="Times New Roman"/>
          <w:sz w:val="24"/>
          <w:szCs w:val="24"/>
        </w:rPr>
        <w:t>из них</w:t>
      </w:r>
      <w:r w:rsidR="00A20BEC" w:rsidRPr="00D25321">
        <w:rPr>
          <w:rFonts w:ascii="Times New Roman" w:hAnsi="Times New Roman" w:cs="Times New Roman"/>
          <w:sz w:val="24"/>
          <w:szCs w:val="24"/>
        </w:rPr>
        <w:t>:</w:t>
      </w:r>
    </w:p>
    <w:p w:rsidR="002F5700" w:rsidRPr="00D25321" w:rsidRDefault="00A20BEC" w:rsidP="002F5700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hAnsi="Times New Roman" w:cs="Times New Roman"/>
          <w:sz w:val="24"/>
          <w:szCs w:val="24"/>
        </w:rPr>
        <w:t>- 4569,0 тыс.</w:t>
      </w:r>
      <w:r w:rsidR="006C59E3" w:rsidRPr="00D25321">
        <w:rPr>
          <w:rFonts w:ascii="Times New Roman" w:hAnsi="Times New Roman" w:cs="Times New Roman"/>
          <w:sz w:val="24"/>
          <w:szCs w:val="24"/>
        </w:rPr>
        <w:t xml:space="preserve"> </w:t>
      </w:r>
      <w:r w:rsidRPr="00D25321">
        <w:rPr>
          <w:rFonts w:ascii="Times New Roman" w:hAnsi="Times New Roman" w:cs="Times New Roman"/>
          <w:sz w:val="24"/>
          <w:szCs w:val="24"/>
        </w:rPr>
        <w:t xml:space="preserve">руб. </w:t>
      </w:r>
      <w:r w:rsidR="00057D15" w:rsidRPr="00D25321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 </w:t>
      </w:r>
      <w:r w:rsidR="00740911" w:rsidRPr="00D25321">
        <w:rPr>
          <w:rFonts w:ascii="Times New Roman" w:hAnsi="Times New Roman" w:cs="Times New Roman"/>
          <w:sz w:val="24"/>
          <w:szCs w:val="24"/>
        </w:rPr>
        <w:t>(</w:t>
      </w:r>
      <w:r w:rsidR="00B15539">
        <w:rPr>
          <w:rFonts w:ascii="Times New Roman" w:hAnsi="Times New Roman" w:cs="Times New Roman"/>
          <w:sz w:val="24"/>
          <w:szCs w:val="24"/>
        </w:rPr>
        <w:t>4,0</w:t>
      </w:r>
      <w:r w:rsidRPr="00D25321">
        <w:rPr>
          <w:rFonts w:ascii="Times New Roman" w:hAnsi="Times New Roman" w:cs="Times New Roman"/>
          <w:sz w:val="24"/>
          <w:szCs w:val="24"/>
        </w:rPr>
        <w:t xml:space="preserve"> %</w:t>
      </w:r>
      <w:r w:rsidR="00057D15" w:rsidRPr="00D25321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B15539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1F354B" w:rsidRPr="00D25321">
        <w:rPr>
          <w:rFonts w:ascii="Times New Roman" w:hAnsi="Times New Roman" w:cs="Times New Roman"/>
          <w:sz w:val="24"/>
          <w:szCs w:val="24"/>
        </w:rPr>
        <w:t>доходов</w:t>
      </w:r>
      <w:r w:rsidR="00C1306D" w:rsidRPr="00D25321">
        <w:rPr>
          <w:rFonts w:ascii="Times New Roman" w:hAnsi="Times New Roman" w:cs="Times New Roman"/>
          <w:sz w:val="24"/>
          <w:szCs w:val="24"/>
        </w:rPr>
        <w:t>)</w:t>
      </w:r>
      <w:r w:rsidRPr="00D25321">
        <w:rPr>
          <w:rFonts w:ascii="Times New Roman" w:hAnsi="Times New Roman" w:cs="Times New Roman"/>
          <w:sz w:val="24"/>
          <w:szCs w:val="24"/>
        </w:rPr>
        <w:t xml:space="preserve">. </w:t>
      </w:r>
      <w:r w:rsidR="00CC56D5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Отклонение от  ут</w:t>
      </w:r>
      <w:r w:rsidR="00451B61">
        <w:rPr>
          <w:rFonts w:ascii="Times New Roman" w:eastAsia="Calibri" w:hAnsi="Times New Roman" w:cs="Calibri"/>
          <w:sz w:val="24"/>
          <w:szCs w:val="24"/>
          <w:lang w:eastAsia="ar-SA"/>
        </w:rPr>
        <w:t>вержденных</w:t>
      </w:r>
      <w:r w:rsidR="00CC56D5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плановых показателей  (</w:t>
      </w:r>
      <w:r w:rsidR="005F072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+</w:t>
      </w:r>
      <w:r w:rsidR="00CC56D5" w:rsidRPr="00D25321">
        <w:rPr>
          <w:rFonts w:ascii="Times New Roman" w:eastAsia="Calibri" w:hAnsi="Times New Roman" w:cs="Calibri"/>
          <w:sz w:val="24"/>
          <w:szCs w:val="24"/>
          <w:lang w:eastAsia="ar-SA"/>
        </w:rPr>
        <w:t>39,0) тыс. руб., или (</w:t>
      </w:r>
      <w:r w:rsidR="005F072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+</w:t>
      </w:r>
      <w:r w:rsidR="00CC56D5" w:rsidRPr="00D25321">
        <w:rPr>
          <w:rFonts w:ascii="Times New Roman" w:eastAsia="Calibri" w:hAnsi="Times New Roman" w:cs="Calibri"/>
          <w:sz w:val="24"/>
          <w:szCs w:val="24"/>
          <w:lang w:eastAsia="ar-SA"/>
        </w:rPr>
        <w:t>0,9 %), от первоначального плана на 2017 год (</w:t>
      </w:r>
      <w:r w:rsidR="005F072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+</w:t>
      </w:r>
      <w:r w:rsidR="00CC56D5" w:rsidRPr="00D25321">
        <w:rPr>
          <w:rFonts w:ascii="Times New Roman" w:eastAsia="Calibri" w:hAnsi="Times New Roman" w:cs="Calibri"/>
          <w:sz w:val="24"/>
          <w:szCs w:val="24"/>
          <w:lang w:eastAsia="ar-SA"/>
        </w:rPr>
        <w:t>1539,0) тыс. руб. или (</w:t>
      </w:r>
      <w:r w:rsidR="005F072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+</w:t>
      </w:r>
      <w:r w:rsidR="00CC56D5" w:rsidRPr="00D25321">
        <w:rPr>
          <w:rFonts w:ascii="Times New Roman" w:eastAsia="Calibri" w:hAnsi="Times New Roman" w:cs="Calibri"/>
          <w:sz w:val="24"/>
          <w:szCs w:val="24"/>
          <w:lang w:eastAsia="ar-SA"/>
        </w:rPr>
        <w:t>50,8</w:t>
      </w:r>
      <w:r w:rsidR="002F570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) %;</w:t>
      </w:r>
    </w:p>
    <w:p w:rsidR="005F0729" w:rsidRPr="00D25321" w:rsidRDefault="002F5700" w:rsidP="005F0729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 w:rsidR="00A20BEC" w:rsidRPr="00D25321">
        <w:rPr>
          <w:rFonts w:ascii="Times New Roman" w:hAnsi="Times New Roman" w:cs="Times New Roman"/>
          <w:sz w:val="24"/>
          <w:szCs w:val="24"/>
        </w:rPr>
        <w:t xml:space="preserve"> 2505,1 тыс. руб.</w:t>
      </w:r>
      <w:r w:rsidR="00740911" w:rsidRPr="00D25321">
        <w:rPr>
          <w:rFonts w:ascii="Times New Roman" w:hAnsi="Times New Roman" w:cs="Times New Roman"/>
          <w:sz w:val="24"/>
          <w:szCs w:val="24"/>
        </w:rPr>
        <w:t xml:space="preserve"> (</w:t>
      </w:r>
      <w:r w:rsidR="007C2494">
        <w:rPr>
          <w:rFonts w:ascii="Times New Roman" w:hAnsi="Times New Roman" w:cs="Times New Roman"/>
          <w:sz w:val="24"/>
          <w:szCs w:val="24"/>
        </w:rPr>
        <w:t>2,2</w:t>
      </w:r>
      <w:r w:rsidR="00A20BEC" w:rsidRPr="00D25321">
        <w:rPr>
          <w:rFonts w:ascii="Times New Roman" w:hAnsi="Times New Roman" w:cs="Times New Roman"/>
          <w:sz w:val="24"/>
          <w:szCs w:val="24"/>
        </w:rPr>
        <w:t xml:space="preserve"> %</w:t>
      </w:r>
      <w:r w:rsidR="00C84569" w:rsidRPr="00D25321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7C2494">
        <w:rPr>
          <w:rFonts w:ascii="Times New Roman" w:hAnsi="Times New Roman" w:cs="Times New Roman"/>
          <w:sz w:val="24"/>
          <w:szCs w:val="24"/>
        </w:rPr>
        <w:t xml:space="preserve"> неналоговых</w:t>
      </w:r>
      <w:r w:rsidR="00C84569" w:rsidRPr="00D25321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A20BEC" w:rsidRPr="00D25321">
        <w:rPr>
          <w:rFonts w:ascii="Times New Roman" w:hAnsi="Times New Roman" w:cs="Times New Roman"/>
          <w:sz w:val="24"/>
          <w:szCs w:val="24"/>
        </w:rPr>
        <w:t xml:space="preserve">) в рамках реализации Федерального закона от </w:t>
      </w:r>
      <w:smartTag w:uri="urn:schemas-microsoft-com:office:smarttags" w:element="date">
        <w:smartTagPr>
          <w:attr w:name="Year" w:val="2008"/>
          <w:attr w:name="Day" w:val="22"/>
          <w:attr w:name="Month" w:val="07"/>
          <w:attr w:name="ls" w:val="trans"/>
        </w:smartTagPr>
        <w:r w:rsidR="00A20BEC" w:rsidRPr="00D25321">
          <w:rPr>
            <w:rFonts w:ascii="Times New Roman" w:hAnsi="Times New Roman" w:cs="Times New Roman"/>
            <w:sz w:val="24"/>
            <w:szCs w:val="24"/>
          </w:rPr>
          <w:t>22.07.2008</w:t>
        </w:r>
      </w:smartTag>
      <w:r w:rsidR="00A20BEC" w:rsidRPr="00D25321">
        <w:rPr>
          <w:rFonts w:ascii="Times New Roman" w:hAnsi="Times New Roman" w:cs="Times New Roman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</w:t>
      </w:r>
      <w:r w:rsidR="005F0729" w:rsidRPr="00D25321">
        <w:rPr>
          <w:rFonts w:ascii="Times New Roman" w:hAnsi="Times New Roman" w:cs="Times New Roman"/>
          <w:sz w:val="24"/>
          <w:szCs w:val="24"/>
        </w:rPr>
        <w:t xml:space="preserve">й Федерации или в муниципальной </w:t>
      </w:r>
      <w:r w:rsidR="00A20BEC" w:rsidRPr="00D25321">
        <w:rPr>
          <w:rFonts w:ascii="Times New Roman" w:hAnsi="Times New Roman" w:cs="Times New Roman"/>
          <w:sz w:val="24"/>
          <w:szCs w:val="24"/>
        </w:rPr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F072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Отклонение от  уточненных плановых </w:t>
      </w:r>
      <w:r w:rsidR="005F0729" w:rsidRPr="00D25321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показателей  (-79,8) тыс. руб., или (-3,1 %), от</w:t>
      </w:r>
      <w:proofErr w:type="gramEnd"/>
      <w:r w:rsidR="005F072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первоначального плана на 2017 год (+75,2) тыс. руб. или (+3,1) %;</w:t>
      </w:r>
    </w:p>
    <w:p w:rsidR="00A20BEC" w:rsidRPr="00D25321" w:rsidRDefault="00A20BEC" w:rsidP="00A2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21">
        <w:rPr>
          <w:rFonts w:ascii="Times New Roman" w:hAnsi="Times New Roman" w:cs="Times New Roman"/>
          <w:sz w:val="24"/>
          <w:szCs w:val="24"/>
        </w:rPr>
        <w:t>-22,0 тыс. руб. (0,</w:t>
      </w:r>
      <w:r w:rsidR="00740911" w:rsidRPr="00D25321">
        <w:rPr>
          <w:rFonts w:ascii="Times New Roman" w:hAnsi="Times New Roman" w:cs="Times New Roman"/>
          <w:sz w:val="24"/>
          <w:szCs w:val="24"/>
        </w:rPr>
        <w:t>0</w:t>
      </w:r>
      <w:r w:rsidR="004B49E9">
        <w:rPr>
          <w:rFonts w:ascii="Times New Roman" w:hAnsi="Times New Roman" w:cs="Times New Roman"/>
          <w:sz w:val="24"/>
          <w:szCs w:val="24"/>
        </w:rPr>
        <w:t>2</w:t>
      </w:r>
      <w:r w:rsidRPr="00D25321">
        <w:rPr>
          <w:rFonts w:ascii="Times New Roman" w:hAnsi="Times New Roman" w:cs="Times New Roman"/>
          <w:sz w:val="24"/>
          <w:szCs w:val="24"/>
        </w:rPr>
        <w:t xml:space="preserve">%) доходы от реализации материальных запасов по указанному имуществу (реализация металлолома </w:t>
      </w:r>
      <w:proofErr w:type="spellStart"/>
      <w:r w:rsidRPr="00D25321">
        <w:rPr>
          <w:rFonts w:ascii="Times New Roman" w:hAnsi="Times New Roman" w:cs="Times New Roman"/>
          <w:sz w:val="24"/>
          <w:szCs w:val="24"/>
        </w:rPr>
        <w:t>Катасоновской</w:t>
      </w:r>
      <w:proofErr w:type="spellEnd"/>
      <w:r w:rsidRPr="00D25321">
        <w:rPr>
          <w:rFonts w:ascii="Times New Roman" w:hAnsi="Times New Roman" w:cs="Times New Roman"/>
          <w:sz w:val="24"/>
          <w:szCs w:val="24"/>
        </w:rPr>
        <w:t xml:space="preserve"> сельской территорией и МКОУ СШ № 3);</w:t>
      </w:r>
    </w:p>
    <w:p w:rsidR="00D73E22" w:rsidRPr="00D25321" w:rsidRDefault="002525ED" w:rsidP="00D7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21">
        <w:rPr>
          <w:rFonts w:ascii="Times New Roman" w:hAnsi="Times New Roman" w:cs="Times New Roman"/>
          <w:sz w:val="24"/>
          <w:szCs w:val="24"/>
        </w:rPr>
        <w:t>-</w:t>
      </w:r>
      <w:r w:rsidR="00D73E22" w:rsidRPr="00D25321">
        <w:rPr>
          <w:rFonts w:ascii="Times New Roman" w:hAnsi="Times New Roman" w:cs="Times New Roman"/>
          <w:sz w:val="24"/>
          <w:szCs w:val="24"/>
        </w:rPr>
        <w:t>436,1 тыс. руб. (</w:t>
      </w:r>
      <w:r w:rsidR="00962F09" w:rsidRPr="00D25321">
        <w:rPr>
          <w:rFonts w:ascii="Times New Roman" w:hAnsi="Times New Roman" w:cs="Times New Roman"/>
          <w:sz w:val="24"/>
          <w:szCs w:val="24"/>
        </w:rPr>
        <w:t>0</w:t>
      </w:r>
      <w:r w:rsidR="00D73E22" w:rsidRPr="00D25321">
        <w:rPr>
          <w:rFonts w:ascii="Times New Roman" w:hAnsi="Times New Roman" w:cs="Times New Roman"/>
          <w:sz w:val="24"/>
          <w:szCs w:val="24"/>
        </w:rPr>
        <w:t>,</w:t>
      </w:r>
      <w:r w:rsidR="00962F09" w:rsidRPr="00D25321">
        <w:rPr>
          <w:rFonts w:ascii="Times New Roman" w:hAnsi="Times New Roman" w:cs="Times New Roman"/>
          <w:sz w:val="24"/>
          <w:szCs w:val="24"/>
        </w:rPr>
        <w:t>5</w:t>
      </w:r>
      <w:r w:rsidR="00D73E22" w:rsidRPr="00D25321">
        <w:rPr>
          <w:rFonts w:ascii="Times New Roman" w:hAnsi="Times New Roman" w:cs="Times New Roman"/>
          <w:sz w:val="24"/>
          <w:szCs w:val="24"/>
        </w:rPr>
        <w:t xml:space="preserve"> %</w:t>
      </w:r>
      <w:r w:rsidR="00962F09" w:rsidRPr="00D25321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4B49E9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962F09" w:rsidRPr="00D25321">
        <w:rPr>
          <w:rFonts w:ascii="Times New Roman" w:hAnsi="Times New Roman" w:cs="Times New Roman"/>
          <w:sz w:val="24"/>
          <w:szCs w:val="24"/>
        </w:rPr>
        <w:t>доходов</w:t>
      </w:r>
      <w:r w:rsidR="00D73E22" w:rsidRPr="00D25321">
        <w:rPr>
          <w:rFonts w:ascii="Times New Roman" w:hAnsi="Times New Roman" w:cs="Times New Roman"/>
          <w:sz w:val="24"/>
          <w:szCs w:val="24"/>
        </w:rPr>
        <w:t>) в рамках реализации Закона 178-ФЗ</w:t>
      </w:r>
      <w:r w:rsidR="002F4649" w:rsidRPr="00D25321">
        <w:rPr>
          <w:rFonts w:ascii="Times New Roman" w:hAnsi="Times New Roman" w:cs="Times New Roman"/>
          <w:sz w:val="24"/>
          <w:szCs w:val="24"/>
        </w:rPr>
        <w:t>.</w:t>
      </w:r>
      <w:r w:rsidR="002F464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Отклонение от  ут</w:t>
      </w:r>
      <w:r w:rsidR="00451B61">
        <w:rPr>
          <w:rFonts w:ascii="Times New Roman" w:eastAsia="Calibri" w:hAnsi="Times New Roman" w:cs="Calibri"/>
          <w:sz w:val="24"/>
          <w:szCs w:val="24"/>
          <w:lang w:eastAsia="ar-SA"/>
        </w:rPr>
        <w:t>вержденн</w:t>
      </w:r>
      <w:r w:rsidR="002F464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ых плановых показателей  (-</w:t>
      </w:r>
      <w:r w:rsidR="00FD30E6">
        <w:rPr>
          <w:rFonts w:ascii="Times New Roman" w:eastAsia="Calibri" w:hAnsi="Times New Roman" w:cs="Calibri"/>
          <w:sz w:val="24"/>
          <w:szCs w:val="24"/>
          <w:lang w:eastAsia="ar-SA"/>
        </w:rPr>
        <w:t>2263,9</w:t>
      </w:r>
      <w:r w:rsidR="002F464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) тыс. руб., или (-</w:t>
      </w:r>
      <w:r w:rsidR="00FD30E6">
        <w:rPr>
          <w:rFonts w:ascii="Times New Roman" w:eastAsia="Calibri" w:hAnsi="Times New Roman" w:cs="Calibri"/>
          <w:sz w:val="24"/>
          <w:szCs w:val="24"/>
          <w:lang w:eastAsia="ar-SA"/>
        </w:rPr>
        <w:t>83,8</w:t>
      </w:r>
      <w:r w:rsidR="002F464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%), от перв</w:t>
      </w:r>
      <w:r w:rsidR="00FD30E6">
        <w:rPr>
          <w:rFonts w:ascii="Times New Roman" w:eastAsia="Calibri" w:hAnsi="Times New Roman" w:cs="Calibri"/>
          <w:sz w:val="24"/>
          <w:szCs w:val="24"/>
          <w:lang w:eastAsia="ar-SA"/>
        </w:rPr>
        <w:t>оначального плана на 2017 год (-563,9</w:t>
      </w:r>
      <w:r w:rsidR="002F464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) тыс. руб. или (</w:t>
      </w:r>
      <w:r w:rsidR="00FD30E6">
        <w:rPr>
          <w:rFonts w:ascii="Times New Roman" w:eastAsia="Calibri" w:hAnsi="Times New Roman" w:cs="Calibri"/>
          <w:sz w:val="24"/>
          <w:szCs w:val="24"/>
          <w:lang w:eastAsia="ar-SA"/>
        </w:rPr>
        <w:t>-56,4</w:t>
      </w:r>
      <w:r w:rsidR="002F464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) %</w:t>
      </w:r>
      <w:r w:rsidR="006C59E3" w:rsidRPr="00D25321">
        <w:rPr>
          <w:rFonts w:ascii="Times New Roman" w:hAnsi="Times New Roman" w:cs="Times New Roman"/>
          <w:sz w:val="24"/>
          <w:szCs w:val="24"/>
        </w:rPr>
        <w:t>.</w:t>
      </w:r>
    </w:p>
    <w:p w:rsidR="00D73E22" w:rsidRPr="00D25321" w:rsidRDefault="00D73E22" w:rsidP="00A2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2A1" w:rsidRPr="00D25321" w:rsidRDefault="0052437B" w:rsidP="00B2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2E31">
        <w:rPr>
          <w:rFonts w:ascii="Times New Roman" w:hAnsi="Times New Roman" w:cs="Times New Roman"/>
          <w:sz w:val="24"/>
          <w:szCs w:val="24"/>
        </w:rPr>
        <w:t>Проверка показала: и</w:t>
      </w:r>
      <w:r w:rsidR="00AE42A1" w:rsidRPr="00D25321">
        <w:rPr>
          <w:rFonts w:ascii="Times New Roman" w:hAnsi="Times New Roman" w:cs="Times New Roman"/>
          <w:sz w:val="24"/>
          <w:szCs w:val="24"/>
        </w:rPr>
        <w:t xml:space="preserve">з </w:t>
      </w:r>
      <w:r w:rsidR="00617749" w:rsidRPr="00D25321">
        <w:rPr>
          <w:rFonts w:ascii="Times New Roman" w:hAnsi="Times New Roman" w:cs="Times New Roman"/>
          <w:sz w:val="24"/>
          <w:szCs w:val="24"/>
        </w:rPr>
        <w:t>16</w:t>
      </w:r>
      <w:r w:rsidR="00AE42A1" w:rsidRPr="00D25321">
        <w:rPr>
          <w:rFonts w:ascii="Times New Roman" w:hAnsi="Times New Roman" w:cs="Times New Roman"/>
          <w:sz w:val="24"/>
          <w:szCs w:val="24"/>
        </w:rPr>
        <w:t xml:space="preserve"> нежилых объектов, включенных в План приватизации в 2017 году:</w:t>
      </w:r>
    </w:p>
    <w:p w:rsidR="00AE42A1" w:rsidRPr="00D25321" w:rsidRDefault="00AE42A1" w:rsidP="00B2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21">
        <w:rPr>
          <w:rFonts w:ascii="Times New Roman" w:hAnsi="Times New Roman" w:cs="Times New Roman"/>
          <w:sz w:val="24"/>
          <w:szCs w:val="24"/>
        </w:rPr>
        <w:t xml:space="preserve">- </w:t>
      </w:r>
      <w:r w:rsidR="00617749" w:rsidRPr="00D25321">
        <w:rPr>
          <w:rFonts w:ascii="Times New Roman" w:hAnsi="Times New Roman" w:cs="Times New Roman"/>
          <w:sz w:val="24"/>
          <w:szCs w:val="24"/>
        </w:rPr>
        <w:t>приватизировано 3 объекта (18</w:t>
      </w:r>
      <w:r w:rsidRPr="00D25321">
        <w:rPr>
          <w:rFonts w:ascii="Times New Roman" w:hAnsi="Times New Roman" w:cs="Times New Roman"/>
          <w:sz w:val="24"/>
          <w:szCs w:val="24"/>
        </w:rPr>
        <w:t xml:space="preserve">,8 %), общей площадью </w:t>
      </w:r>
      <w:r w:rsidR="00FB0C02" w:rsidRPr="00D25321">
        <w:rPr>
          <w:rFonts w:ascii="Times New Roman" w:hAnsi="Times New Roman" w:cs="Times New Roman"/>
          <w:sz w:val="24"/>
          <w:szCs w:val="24"/>
        </w:rPr>
        <w:t>2051,6</w:t>
      </w:r>
      <w:r w:rsidR="003F2BAB" w:rsidRPr="00D25321">
        <w:rPr>
          <w:rFonts w:ascii="Times New Roman" w:hAnsi="Times New Roman" w:cs="Times New Roman"/>
          <w:sz w:val="24"/>
          <w:szCs w:val="24"/>
        </w:rPr>
        <w:t xml:space="preserve"> кв. м., в том числе 3</w:t>
      </w:r>
      <w:r w:rsidR="00617749" w:rsidRPr="00D25321">
        <w:rPr>
          <w:rFonts w:ascii="Times New Roman" w:hAnsi="Times New Roman" w:cs="Times New Roman"/>
          <w:sz w:val="24"/>
          <w:szCs w:val="24"/>
        </w:rPr>
        <w:t xml:space="preserve"> </w:t>
      </w:r>
      <w:r w:rsidR="003F2BAB" w:rsidRPr="00D25321">
        <w:rPr>
          <w:rFonts w:ascii="Times New Roman" w:hAnsi="Times New Roman" w:cs="Times New Roman"/>
          <w:sz w:val="24"/>
          <w:szCs w:val="24"/>
        </w:rPr>
        <w:t>здания (общей площадью 2051</w:t>
      </w:r>
      <w:r w:rsidRPr="00D25321">
        <w:rPr>
          <w:rFonts w:ascii="Times New Roman" w:hAnsi="Times New Roman" w:cs="Times New Roman"/>
          <w:sz w:val="24"/>
          <w:szCs w:val="24"/>
        </w:rPr>
        <w:t>,6 кв. м</w:t>
      </w:r>
      <w:r w:rsidR="00870394" w:rsidRPr="00D25321">
        <w:rPr>
          <w:rFonts w:ascii="Times New Roman" w:hAnsi="Times New Roman" w:cs="Times New Roman"/>
          <w:sz w:val="24"/>
          <w:szCs w:val="24"/>
        </w:rPr>
        <w:t>)</w:t>
      </w:r>
      <w:r w:rsidRPr="00D25321">
        <w:rPr>
          <w:rFonts w:ascii="Times New Roman" w:hAnsi="Times New Roman" w:cs="Times New Roman"/>
          <w:sz w:val="24"/>
          <w:szCs w:val="24"/>
        </w:rPr>
        <w:t>;</w:t>
      </w:r>
    </w:p>
    <w:p w:rsidR="00D73E22" w:rsidRPr="00D25321" w:rsidRDefault="00AE42A1" w:rsidP="00B24A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5321">
        <w:rPr>
          <w:rFonts w:ascii="Times New Roman" w:hAnsi="Times New Roman" w:cs="Times New Roman"/>
          <w:sz w:val="24"/>
          <w:szCs w:val="24"/>
        </w:rPr>
        <w:t xml:space="preserve">- не приватизировано </w:t>
      </w:r>
      <w:r w:rsidR="00617749" w:rsidRPr="00D25321">
        <w:rPr>
          <w:rFonts w:ascii="Times New Roman" w:hAnsi="Times New Roman" w:cs="Times New Roman"/>
          <w:sz w:val="24"/>
          <w:szCs w:val="24"/>
        </w:rPr>
        <w:t>13</w:t>
      </w:r>
      <w:r w:rsidRPr="00D25321">
        <w:rPr>
          <w:rFonts w:ascii="Times New Roman" w:hAnsi="Times New Roman" w:cs="Times New Roman"/>
          <w:sz w:val="24"/>
          <w:szCs w:val="24"/>
        </w:rPr>
        <w:t xml:space="preserve"> </w:t>
      </w:r>
      <w:r w:rsidR="00617749" w:rsidRPr="00D25321">
        <w:rPr>
          <w:rFonts w:ascii="Times New Roman" w:hAnsi="Times New Roman" w:cs="Times New Roman"/>
          <w:sz w:val="24"/>
          <w:szCs w:val="24"/>
        </w:rPr>
        <w:t>объектов (81</w:t>
      </w:r>
      <w:r w:rsidRPr="00D25321">
        <w:rPr>
          <w:rFonts w:ascii="Times New Roman" w:hAnsi="Times New Roman" w:cs="Times New Roman"/>
          <w:sz w:val="24"/>
          <w:szCs w:val="24"/>
        </w:rPr>
        <w:t xml:space="preserve">,2 %), общей площадью </w:t>
      </w:r>
      <w:r w:rsidR="00F71AE9" w:rsidRPr="00D25321">
        <w:rPr>
          <w:rFonts w:ascii="Times New Roman" w:hAnsi="Times New Roman" w:cs="Times New Roman"/>
          <w:sz w:val="24"/>
          <w:szCs w:val="24"/>
        </w:rPr>
        <w:t xml:space="preserve">2597,3 кв. м, в том числе 38 </w:t>
      </w:r>
      <w:r w:rsidRPr="00D25321">
        <w:rPr>
          <w:rFonts w:ascii="Times New Roman" w:hAnsi="Times New Roman" w:cs="Times New Roman"/>
          <w:sz w:val="24"/>
          <w:szCs w:val="24"/>
        </w:rPr>
        <w:t xml:space="preserve">зданий (общей площадью </w:t>
      </w:r>
      <w:r w:rsidR="00F71AE9" w:rsidRPr="00D25321">
        <w:rPr>
          <w:rFonts w:ascii="Times New Roman" w:hAnsi="Times New Roman" w:cs="Times New Roman"/>
          <w:sz w:val="24"/>
          <w:szCs w:val="24"/>
        </w:rPr>
        <w:t>2597,3</w:t>
      </w:r>
      <w:r w:rsidRPr="00D25321">
        <w:rPr>
          <w:rFonts w:ascii="Times New Roman" w:hAnsi="Times New Roman" w:cs="Times New Roman"/>
          <w:sz w:val="24"/>
          <w:szCs w:val="24"/>
        </w:rPr>
        <w:t xml:space="preserve"> кв. м</w:t>
      </w:r>
      <w:r w:rsidR="0057611D" w:rsidRPr="00D25321">
        <w:rPr>
          <w:rFonts w:ascii="TimesNewRomanPSMT" w:hAnsi="TimesNewRomanPSMT" w:cs="TimesNewRomanPSMT"/>
          <w:sz w:val="24"/>
          <w:szCs w:val="24"/>
        </w:rPr>
        <w:t>.</w:t>
      </w:r>
      <w:r w:rsidR="00BD375B" w:rsidRPr="00D25321">
        <w:rPr>
          <w:rFonts w:ascii="TimesNewRomanPSMT" w:hAnsi="TimesNewRomanPSMT" w:cs="TimesNewRomanPSMT"/>
          <w:sz w:val="24"/>
          <w:szCs w:val="24"/>
        </w:rPr>
        <w:t>)</w:t>
      </w:r>
    </w:p>
    <w:p w:rsidR="00870394" w:rsidRPr="00D25321" w:rsidRDefault="0057611D" w:rsidP="00B2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21">
        <w:rPr>
          <w:rFonts w:ascii="TimesNewRomanPSMT" w:hAnsi="TimesNewRomanPSMT" w:cs="TimesNewRomanPSMT"/>
          <w:sz w:val="24"/>
          <w:szCs w:val="24"/>
        </w:rPr>
        <w:t xml:space="preserve"> </w:t>
      </w:r>
      <w:r w:rsidR="002F4649" w:rsidRPr="00D25321"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2F4649" w:rsidRPr="00D25321">
        <w:rPr>
          <w:rFonts w:ascii="Times New Roman" w:hAnsi="Times New Roman" w:cs="Times New Roman"/>
          <w:sz w:val="24"/>
          <w:szCs w:val="24"/>
        </w:rPr>
        <w:t xml:space="preserve">Два приватизированных объекта реализованы путем проведения открытого аукциона, один посредством публичного предложения. </w:t>
      </w:r>
      <w:proofErr w:type="gramStart"/>
      <w:r w:rsidR="002F4649" w:rsidRPr="00D25321">
        <w:rPr>
          <w:rFonts w:ascii="Times New Roman" w:hAnsi="Times New Roman" w:cs="Times New Roman"/>
          <w:sz w:val="24"/>
          <w:szCs w:val="24"/>
        </w:rPr>
        <w:t>Общая цена продажи за три объекта составила 1243,6 тыс. руб.</w:t>
      </w:r>
      <w:r w:rsidR="00D572AC" w:rsidRPr="00D25321">
        <w:rPr>
          <w:rFonts w:ascii="Times New Roman" w:hAnsi="Times New Roman" w:cs="Times New Roman"/>
          <w:sz w:val="24"/>
          <w:szCs w:val="24"/>
        </w:rPr>
        <w:t xml:space="preserve"> </w:t>
      </w:r>
      <w:r w:rsidR="002F4649" w:rsidRPr="00D25321">
        <w:rPr>
          <w:rFonts w:ascii="Times New Roman" w:hAnsi="Times New Roman" w:cs="Times New Roman"/>
          <w:sz w:val="24"/>
          <w:szCs w:val="24"/>
        </w:rPr>
        <w:t xml:space="preserve"> В бюджет городского округа</w:t>
      </w:r>
      <w:r w:rsidR="00D572AC" w:rsidRPr="00D25321">
        <w:rPr>
          <w:rFonts w:ascii="Times New Roman" w:hAnsi="Times New Roman" w:cs="Times New Roman"/>
          <w:sz w:val="24"/>
          <w:szCs w:val="24"/>
        </w:rPr>
        <w:t xml:space="preserve">, </w:t>
      </w:r>
      <w:r w:rsidR="002F4649" w:rsidRPr="00D25321">
        <w:rPr>
          <w:rFonts w:ascii="Times New Roman" w:hAnsi="Times New Roman" w:cs="Times New Roman"/>
          <w:sz w:val="24"/>
          <w:szCs w:val="24"/>
        </w:rPr>
        <w:t>в 2017 году</w:t>
      </w:r>
      <w:r w:rsidR="00D572AC" w:rsidRPr="00D25321">
        <w:rPr>
          <w:rFonts w:ascii="Times New Roman" w:hAnsi="Times New Roman" w:cs="Times New Roman"/>
          <w:sz w:val="24"/>
          <w:szCs w:val="24"/>
        </w:rPr>
        <w:t xml:space="preserve">, </w:t>
      </w:r>
      <w:r w:rsidR="002F4649" w:rsidRPr="00D25321">
        <w:rPr>
          <w:rFonts w:ascii="Times New Roman" w:hAnsi="Times New Roman" w:cs="Times New Roman"/>
          <w:sz w:val="24"/>
          <w:szCs w:val="24"/>
        </w:rPr>
        <w:t xml:space="preserve"> поступило 436,1 тыс. руб., на временный счет администрации ошибочно зачислено 807,5 тыс. руб. </w:t>
      </w:r>
      <w:r w:rsidR="002525ED" w:rsidRPr="00D25321">
        <w:rPr>
          <w:rFonts w:ascii="Times New Roman" w:hAnsi="Times New Roman" w:cs="Times New Roman"/>
          <w:sz w:val="24"/>
          <w:szCs w:val="24"/>
        </w:rPr>
        <w:t>Таким образом, ф</w:t>
      </w:r>
      <w:r w:rsidR="002F4649" w:rsidRPr="00D25321">
        <w:rPr>
          <w:rFonts w:ascii="Times New Roman" w:hAnsi="Times New Roman" w:cs="Times New Roman"/>
          <w:sz w:val="24"/>
          <w:szCs w:val="24"/>
        </w:rPr>
        <w:t>актическое исполнение бюджета</w:t>
      </w:r>
      <w:r w:rsidR="00D572AC" w:rsidRPr="00D25321">
        <w:rPr>
          <w:rFonts w:ascii="Times New Roman" w:hAnsi="Times New Roman" w:cs="Times New Roman"/>
          <w:sz w:val="24"/>
          <w:szCs w:val="24"/>
        </w:rPr>
        <w:t>,</w:t>
      </w:r>
      <w:r w:rsidR="002F4649" w:rsidRPr="00D25321">
        <w:rPr>
          <w:rFonts w:ascii="Times New Roman" w:hAnsi="Times New Roman" w:cs="Times New Roman"/>
          <w:sz w:val="24"/>
          <w:szCs w:val="24"/>
        </w:rPr>
        <w:t xml:space="preserve"> </w:t>
      </w:r>
      <w:r w:rsidR="002525ED" w:rsidRPr="00D25321">
        <w:rPr>
          <w:rFonts w:ascii="Times New Roman" w:hAnsi="Times New Roman" w:cs="Times New Roman"/>
          <w:sz w:val="24"/>
          <w:szCs w:val="24"/>
        </w:rPr>
        <w:t>в 2017 году</w:t>
      </w:r>
      <w:r w:rsidR="00D572AC" w:rsidRPr="00D25321">
        <w:rPr>
          <w:rFonts w:ascii="Times New Roman" w:hAnsi="Times New Roman" w:cs="Times New Roman"/>
          <w:sz w:val="24"/>
          <w:szCs w:val="24"/>
        </w:rPr>
        <w:t xml:space="preserve">, </w:t>
      </w:r>
      <w:r w:rsidR="002525ED" w:rsidRPr="00D25321">
        <w:rPr>
          <w:rFonts w:ascii="Times New Roman" w:hAnsi="Times New Roman" w:cs="Times New Roman"/>
          <w:sz w:val="28"/>
          <w:szCs w:val="28"/>
        </w:rPr>
        <w:t xml:space="preserve"> </w:t>
      </w:r>
      <w:r w:rsidR="002F4649" w:rsidRPr="00D25321">
        <w:rPr>
          <w:rFonts w:ascii="Times New Roman" w:hAnsi="Times New Roman" w:cs="Times New Roman"/>
          <w:sz w:val="24"/>
          <w:szCs w:val="24"/>
        </w:rPr>
        <w:t xml:space="preserve">составило 16,2 %. </w:t>
      </w:r>
      <w:r w:rsidR="002525ED" w:rsidRPr="00D25321">
        <w:rPr>
          <w:rFonts w:ascii="Times New Roman" w:hAnsi="Times New Roman" w:cs="Times New Roman"/>
          <w:sz w:val="24"/>
          <w:szCs w:val="24"/>
        </w:rPr>
        <w:t>Перевод денежных средств в размере 807,5 тыс. руб. на КБК 752114</w:t>
      </w:r>
      <w:r w:rsidR="00D572AC" w:rsidRPr="00D25321">
        <w:rPr>
          <w:rFonts w:ascii="Times New Roman" w:hAnsi="Times New Roman" w:cs="Times New Roman"/>
          <w:sz w:val="24"/>
          <w:szCs w:val="24"/>
        </w:rPr>
        <w:t>0204</w:t>
      </w:r>
      <w:r w:rsidR="00F928B5" w:rsidRPr="00D25321">
        <w:rPr>
          <w:rFonts w:ascii="Times New Roman" w:hAnsi="Times New Roman" w:cs="Times New Roman"/>
          <w:sz w:val="24"/>
          <w:szCs w:val="24"/>
        </w:rPr>
        <w:t xml:space="preserve">3040000410 произведен в январе </w:t>
      </w:r>
      <w:r w:rsidR="002525ED" w:rsidRPr="00D25321">
        <w:rPr>
          <w:rFonts w:ascii="Times New Roman" w:hAnsi="Times New Roman" w:cs="Times New Roman"/>
          <w:sz w:val="24"/>
          <w:szCs w:val="24"/>
        </w:rPr>
        <w:t>2018</w:t>
      </w:r>
      <w:r w:rsidR="00FF5C77" w:rsidRPr="00D25321">
        <w:rPr>
          <w:rFonts w:ascii="Times New Roman" w:hAnsi="Times New Roman" w:cs="Times New Roman"/>
          <w:sz w:val="24"/>
          <w:szCs w:val="24"/>
        </w:rPr>
        <w:t xml:space="preserve"> (пл. поручение от 10.01.2018 № 817337</w:t>
      </w:r>
      <w:proofErr w:type="gramEnd"/>
      <w:r w:rsidR="00FF5C77" w:rsidRPr="00D25321">
        <w:rPr>
          <w:rFonts w:ascii="Times New Roman" w:hAnsi="Times New Roman" w:cs="Times New Roman"/>
          <w:sz w:val="24"/>
          <w:szCs w:val="24"/>
        </w:rPr>
        <w:t>)</w:t>
      </w:r>
      <w:r w:rsidR="00D572AC" w:rsidRPr="00D25321">
        <w:rPr>
          <w:rFonts w:ascii="Times New Roman" w:hAnsi="Times New Roman" w:cs="Times New Roman"/>
          <w:sz w:val="24"/>
          <w:szCs w:val="24"/>
        </w:rPr>
        <w:t xml:space="preserve">. По восьми объектам приватизации </w:t>
      </w:r>
      <w:r w:rsidR="0074148D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D572AC" w:rsidRPr="00D25321">
        <w:rPr>
          <w:rFonts w:ascii="Times New Roman" w:hAnsi="Times New Roman" w:cs="Times New Roman"/>
          <w:sz w:val="24"/>
          <w:szCs w:val="24"/>
        </w:rPr>
        <w:t>аукционы и продажа посредством публичного предложения</w:t>
      </w:r>
      <w:r w:rsidR="00F928B5" w:rsidRPr="00D25321">
        <w:rPr>
          <w:rFonts w:ascii="Times New Roman" w:hAnsi="Times New Roman" w:cs="Times New Roman"/>
          <w:sz w:val="24"/>
          <w:szCs w:val="24"/>
        </w:rPr>
        <w:t>, однако заявок не поступало</w:t>
      </w:r>
      <w:r w:rsidR="00D572AC" w:rsidRPr="00D25321">
        <w:rPr>
          <w:rFonts w:ascii="Times New Roman" w:hAnsi="Times New Roman" w:cs="Times New Roman"/>
          <w:sz w:val="24"/>
          <w:szCs w:val="24"/>
        </w:rPr>
        <w:t>.</w:t>
      </w:r>
    </w:p>
    <w:p w:rsidR="00F72521" w:rsidRPr="00D25321" w:rsidRDefault="0018447D" w:rsidP="00B2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2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B24A96" w:rsidRPr="00D25321">
        <w:rPr>
          <w:rFonts w:ascii="Times New Roman" w:hAnsi="Times New Roman" w:cs="Times New Roman"/>
          <w:sz w:val="24"/>
          <w:szCs w:val="24"/>
        </w:rPr>
        <w:t xml:space="preserve">В целом анализ выполнения </w:t>
      </w:r>
      <w:r w:rsidR="00AE42A1" w:rsidRPr="00D2532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27625" w:rsidRPr="00D25321">
        <w:rPr>
          <w:rFonts w:ascii="Times New Roman" w:hAnsi="Times New Roman" w:cs="Times New Roman"/>
          <w:sz w:val="24"/>
          <w:szCs w:val="24"/>
        </w:rPr>
        <w:t>города Михайловки Плана приватизации в 2017</w:t>
      </w:r>
      <w:r w:rsidR="00AE42A1" w:rsidRPr="00D25321">
        <w:rPr>
          <w:rFonts w:ascii="Times New Roman" w:hAnsi="Times New Roman" w:cs="Times New Roman"/>
          <w:sz w:val="24"/>
          <w:szCs w:val="24"/>
        </w:rPr>
        <w:t xml:space="preserve"> году и</w:t>
      </w:r>
      <w:r w:rsidR="00B24A96" w:rsidRPr="00D25321">
        <w:rPr>
          <w:rFonts w:ascii="Times New Roman" w:hAnsi="Times New Roman" w:cs="Times New Roman"/>
          <w:sz w:val="24"/>
          <w:szCs w:val="24"/>
        </w:rPr>
        <w:t xml:space="preserve"> </w:t>
      </w:r>
      <w:r w:rsidR="00AE42A1" w:rsidRPr="00D25321">
        <w:rPr>
          <w:rFonts w:ascii="Times New Roman" w:hAnsi="Times New Roman" w:cs="Times New Roman"/>
          <w:sz w:val="24"/>
          <w:szCs w:val="24"/>
        </w:rPr>
        <w:t xml:space="preserve">поступления доходов в бюджет </w:t>
      </w:r>
      <w:r w:rsidR="00227625" w:rsidRPr="00D2532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E42A1" w:rsidRPr="00D25321">
        <w:rPr>
          <w:rFonts w:ascii="Times New Roman" w:hAnsi="Times New Roman" w:cs="Times New Roman"/>
          <w:sz w:val="24"/>
          <w:szCs w:val="24"/>
        </w:rPr>
        <w:t xml:space="preserve"> от реализации муници</w:t>
      </w:r>
      <w:r w:rsidR="00227625" w:rsidRPr="00D25321">
        <w:rPr>
          <w:rFonts w:ascii="Times New Roman" w:hAnsi="Times New Roman" w:cs="Times New Roman"/>
          <w:sz w:val="24"/>
          <w:szCs w:val="24"/>
        </w:rPr>
        <w:t xml:space="preserve">пального имущества показал, что </w:t>
      </w:r>
      <w:r w:rsidR="00AE42A1" w:rsidRPr="00D25321">
        <w:rPr>
          <w:rFonts w:ascii="Times New Roman" w:hAnsi="Times New Roman" w:cs="Times New Roman"/>
          <w:sz w:val="24"/>
          <w:szCs w:val="24"/>
        </w:rPr>
        <w:t>одни из глав</w:t>
      </w:r>
      <w:r w:rsidR="00227625" w:rsidRPr="00D25321">
        <w:rPr>
          <w:rFonts w:ascii="Times New Roman" w:hAnsi="Times New Roman" w:cs="Times New Roman"/>
          <w:sz w:val="24"/>
          <w:szCs w:val="24"/>
        </w:rPr>
        <w:t xml:space="preserve">ных целей приватизации объектов </w:t>
      </w:r>
      <w:r w:rsidR="00AE42A1" w:rsidRPr="00D2532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F7FBD" w:rsidRPr="00D25321">
        <w:rPr>
          <w:rFonts w:ascii="Times New Roman" w:hAnsi="Times New Roman" w:cs="Times New Roman"/>
          <w:sz w:val="24"/>
          <w:szCs w:val="24"/>
        </w:rPr>
        <w:t xml:space="preserve">собственности городского округа </w:t>
      </w:r>
      <w:r w:rsidR="00AE42A1" w:rsidRPr="00D25321">
        <w:rPr>
          <w:rFonts w:ascii="Times New Roman" w:hAnsi="Times New Roman" w:cs="Times New Roman"/>
          <w:sz w:val="24"/>
          <w:szCs w:val="24"/>
        </w:rPr>
        <w:t>город</w:t>
      </w:r>
      <w:r w:rsidR="00227625" w:rsidRPr="00D25321">
        <w:rPr>
          <w:rFonts w:ascii="Times New Roman" w:hAnsi="Times New Roman" w:cs="Times New Roman"/>
          <w:sz w:val="24"/>
          <w:szCs w:val="24"/>
        </w:rPr>
        <w:t xml:space="preserve"> Михайловка </w:t>
      </w:r>
      <w:r w:rsidR="00AE42A1" w:rsidRPr="00D25321">
        <w:rPr>
          <w:rFonts w:ascii="Times New Roman" w:hAnsi="Times New Roman" w:cs="Times New Roman"/>
          <w:sz w:val="24"/>
          <w:szCs w:val="24"/>
        </w:rPr>
        <w:t xml:space="preserve"> - повышение эффективности управлен</w:t>
      </w:r>
      <w:r w:rsidR="002F7FBD" w:rsidRPr="00D25321">
        <w:rPr>
          <w:rFonts w:ascii="Times New Roman" w:hAnsi="Times New Roman" w:cs="Times New Roman"/>
          <w:sz w:val="24"/>
          <w:szCs w:val="24"/>
        </w:rPr>
        <w:t xml:space="preserve">ия муниципальной собственностью </w:t>
      </w:r>
      <w:r w:rsidR="00227625" w:rsidRPr="00D25321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AE42A1" w:rsidRPr="00D25321">
        <w:rPr>
          <w:rFonts w:ascii="Times New Roman" w:hAnsi="Times New Roman" w:cs="Times New Roman"/>
          <w:sz w:val="24"/>
          <w:szCs w:val="24"/>
        </w:rPr>
        <w:t xml:space="preserve">, мобилизация доходов в бюджет </w:t>
      </w:r>
      <w:r w:rsidR="002F7FBD" w:rsidRPr="00D25321">
        <w:rPr>
          <w:rFonts w:ascii="Times New Roman" w:hAnsi="Times New Roman" w:cs="Times New Roman"/>
          <w:sz w:val="24"/>
          <w:szCs w:val="24"/>
        </w:rPr>
        <w:t xml:space="preserve">города Михайловки </w:t>
      </w:r>
      <w:r w:rsidR="00AE42A1" w:rsidRPr="00D25321">
        <w:rPr>
          <w:rFonts w:ascii="Times New Roman" w:hAnsi="Times New Roman" w:cs="Times New Roman"/>
          <w:sz w:val="24"/>
          <w:szCs w:val="24"/>
        </w:rPr>
        <w:t>в полном объеме не достигнуты.</w:t>
      </w:r>
      <w:r w:rsidR="00EC74E9" w:rsidRPr="00D2532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End"/>
    </w:p>
    <w:p w:rsidR="00F72521" w:rsidRPr="00D25321" w:rsidRDefault="00F72521" w:rsidP="000570ED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</w:t>
      </w:r>
      <w:r w:rsidRPr="00D2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  <w:r w:rsidR="0018447D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D2532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Доходы от оказания платных услуг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Поступления по вышеуказанным доходам  планировались с учетом реорганизации казенных учреждений дошкольного образования в бюджетное учреждение. Доход от иной приносящей доход деятельности у бюджетного учреждения в бюджет городского округа не зачисляется, а остается в распоряжении учреждения.  </w:t>
      </w:r>
      <w:proofErr w:type="gramStart"/>
      <w:r w:rsidR="000570ED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 уровню 2016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года общая сумма поступлений уменьшилась на </w:t>
      </w:r>
      <w:r w:rsidR="000570E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2418,4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или </w:t>
      </w:r>
      <w:r w:rsidR="000570ED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на 18,0%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Фактические поступления   в 201</w:t>
      </w:r>
      <w:r w:rsidR="000570ED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 составили 1</w:t>
      </w:r>
      <w:r w:rsidR="000570ED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0955,2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что выше первоначально запланированных сумм на </w:t>
      </w:r>
      <w:r w:rsidR="000570ED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2142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0570ED"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>2 тыс. руб. или на 24,3</w:t>
      </w:r>
      <w:r w:rsidRPr="00D253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%.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Отклонение фактических поступлений от уточненных план</w:t>
      </w:r>
      <w:r w:rsidR="0070600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овых показателей составляет +42,2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План по доходам от оказан</w:t>
      </w:r>
      <w:r w:rsidR="0070600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ия платных услуг выполнен на 100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,4 %.  </w:t>
      </w:r>
      <w:proofErr w:type="gramEnd"/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Поступление в доход бюджета городского</w:t>
      </w:r>
      <w:r w:rsidR="00706000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округа город Михайловка за 2017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</w:t>
      </w:r>
      <w:r w:rsidRPr="00D2532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платежей при пользовании природными ресурсами</w:t>
      </w:r>
      <w:r w:rsidR="00706000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составило 2505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70600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или 100,</w:t>
      </w:r>
      <w:r w:rsidR="0070600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по отношению к уточненному плану.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</w:t>
      </w:r>
      <w:r w:rsidRPr="00D2532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«Штрафы, санкции, возмещение ущерба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» в 201</w:t>
      </w:r>
      <w:r w:rsidR="006C5A2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поступили в бюджет городского округа в сумме 5</w:t>
      </w:r>
      <w:r w:rsidR="00A43CE4" w:rsidRPr="00D25321">
        <w:rPr>
          <w:rFonts w:ascii="Times New Roman" w:eastAsia="Calibri" w:hAnsi="Times New Roman" w:cs="Calibri"/>
          <w:sz w:val="24"/>
          <w:szCs w:val="24"/>
          <w:lang w:eastAsia="ar-SA"/>
        </w:rPr>
        <w:t>197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A43CE4" w:rsidRPr="00D25321">
        <w:rPr>
          <w:rFonts w:ascii="Times New Roman" w:eastAsia="Calibri" w:hAnsi="Times New Roman" w:cs="Calibri"/>
          <w:sz w:val="24"/>
          <w:szCs w:val="24"/>
          <w:lang w:eastAsia="ar-SA"/>
        </w:rPr>
        <w:t>9 тыс. руб. или 101,9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 по отношению к уточне</w:t>
      </w:r>
      <w:r w:rsidR="00A43CE4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нному плану. По сравнению с 2016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годом   поступления уменьшились на </w:t>
      </w:r>
      <w:r w:rsidR="00A43CE4" w:rsidRPr="00D25321">
        <w:rPr>
          <w:rFonts w:ascii="Times New Roman" w:eastAsia="Calibri" w:hAnsi="Times New Roman" w:cs="Calibri"/>
          <w:sz w:val="24"/>
          <w:szCs w:val="24"/>
          <w:lang w:eastAsia="ar-SA"/>
        </w:rPr>
        <w:t>519,8 тыс. руб. или  на 9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,0 %.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</w:t>
      </w:r>
    </w:p>
    <w:p w:rsidR="00DA49A3" w:rsidRPr="00D25321" w:rsidRDefault="00F72521" w:rsidP="00DA49A3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Предоставление льгот по  неналоговым платежам  </w:t>
      </w:r>
    </w:p>
    <w:p w:rsidR="00DA49A3" w:rsidRPr="00D25321" w:rsidRDefault="00DA49A3" w:rsidP="00DA49A3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D25321" w:rsidRDefault="00F72521" w:rsidP="00DA49A3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ar-SA"/>
        </w:rPr>
        <w:lastRenderedPageBreak/>
        <w:t xml:space="preserve">  </w:t>
      </w:r>
      <w:r w:rsidRPr="00D253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 xml:space="preserve">                 </w:t>
      </w:r>
      <w:r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ar-SA"/>
        </w:rPr>
        <w:t xml:space="preserve">Категория арендаторов, имеющих льготы по арендной плате за землю, определена Порядком расчета арендной платы за земельные участки, государственная собственность на которые не разграничена и земельные участки, находящиеся в собственности Волгоградской области, </w:t>
      </w:r>
      <w:r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предоставленные в аренду без торгов, </w:t>
      </w:r>
      <w:r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ar-SA"/>
        </w:rPr>
        <w:t>утвержденного постановлением администрации Волгоградской области от 22.08.2011 № 469-п (ред. от 28.07.2014).</w:t>
      </w:r>
    </w:p>
    <w:p w:rsidR="00F72521" w:rsidRPr="00D25321" w:rsidRDefault="00F72521" w:rsidP="00F72521">
      <w:pPr>
        <w:keepNext/>
        <w:spacing w:before="240" w:after="60"/>
        <w:jc w:val="both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val="x-none" w:eastAsia="ru-RU"/>
        </w:rPr>
      </w:pPr>
      <w:r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   Значения </w:t>
      </w:r>
      <w:r w:rsidR="006C59E3"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ar-SA"/>
        </w:rPr>
        <w:t>льгот</w:t>
      </w:r>
      <w:r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утверждены решением Михайловской городской Думы от 05.05.2008 г. № 322 «Об утверждении значений коэффициентов к Порядку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области». </w:t>
      </w:r>
      <w:r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ar-SA"/>
        </w:rPr>
        <w:t xml:space="preserve"> Сумма выпадающих доходов в 201</w:t>
      </w:r>
      <w:r w:rsidR="0002124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7</w:t>
      </w:r>
      <w:r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ar-SA"/>
        </w:rPr>
        <w:t xml:space="preserve"> году составила  </w:t>
      </w:r>
      <w:r w:rsidR="00A43CE4"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7493</w:t>
      </w:r>
      <w:r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ar-SA"/>
        </w:rPr>
        <w:t>,</w:t>
      </w:r>
      <w:r w:rsidR="00A43CE4"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0</w:t>
      </w:r>
      <w:r w:rsidRPr="00D2532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ar-SA"/>
        </w:rPr>
        <w:t xml:space="preserve"> тыс. руб.</w:t>
      </w:r>
      <w:r w:rsidRPr="00D25321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  <w:t>.</w:t>
      </w:r>
      <w:r w:rsidRPr="00D25321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x-none" w:eastAsia="ar-SA"/>
        </w:rPr>
        <w:t xml:space="preserve">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>Безвозмездные поступления.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Безвозмездные поступления предусматривались первоначально в размере </w:t>
      </w:r>
      <w:r w:rsidR="00A302D0" w:rsidRPr="00D25321">
        <w:rPr>
          <w:rFonts w:ascii="Times New Roman" w:hAnsi="Times New Roman"/>
          <w:sz w:val="24"/>
          <w:szCs w:val="24"/>
        </w:rPr>
        <w:t>440066,4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рублей. </w:t>
      </w:r>
      <w:proofErr w:type="gramStart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С учетом поправок, б</w:t>
      </w:r>
      <w:r w:rsidR="00A302D0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езвозмездные поступления на 2017 го</w:t>
      </w:r>
      <w:r w:rsidR="006F4E07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д утверждены в сумме  66423</w:t>
      </w:r>
      <w:r w:rsidR="00106A1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1,2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Уточненный план по доходам превышает утвержденный объем доходов по решению по бе</w:t>
      </w:r>
      <w:r w:rsidR="006F4E07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звозмездным учреждениям на 224164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6F4E07" w:rsidRPr="00D25321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Изменения в сводную роспись внесены в соответствии со ст. 217 Бюджетного Кодекса Российской Федерации без внесения изменений в решение о бюджете.</w:t>
      </w:r>
      <w:proofErr w:type="gramEnd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Фактиче</w:t>
      </w:r>
      <w:r w:rsidR="00106A1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ское исполнение составило 716412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,3 тыс. руб</w:t>
      </w:r>
      <w:r w:rsidR="00C965C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. или 107,9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% к уточненному плану. </w:t>
      </w:r>
      <w:r w:rsidR="00C965C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В 2017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году безвозмездные поступления получены в виде субвенций, субсидий, дотации на поддержку мер по обеспечению сбалансированности местных бюджетов, в том числе: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- субсидии бюджетам бюджетной системы Российской Федера</w:t>
      </w:r>
      <w:r w:rsidR="00C965C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ции (межбюджетные субсидии 85289,7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бюджетные н</w:t>
      </w:r>
      <w:r w:rsidR="00C965C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азначения исполнены на 99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C965C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0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%);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-   субвенции бюджетам субъектов РФ и муниципальных образований составили 63</w:t>
      </w:r>
      <w:r w:rsidR="00C965C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0479,2 тыс. руб., что составляет 109,5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% к уточненным плановым показателям;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иные межбюджетные трансферты </w:t>
      </w:r>
      <w:r w:rsidR="00DC091F" w:rsidRPr="00D25321">
        <w:rPr>
          <w:rFonts w:ascii="Times New Roman" w:eastAsia="Calibri" w:hAnsi="Times New Roman" w:cs="Calibri"/>
          <w:sz w:val="24"/>
          <w:szCs w:val="24"/>
          <w:lang w:eastAsia="ar-SA"/>
        </w:rPr>
        <w:t>1284,2 тыс. руб., что составляет 97,0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 к уточненному плану;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-  дотации бюджетам на поддержку мер по обеспечению сб</w:t>
      </w:r>
      <w:r w:rsidR="00C965C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алансированности бюджетов  1092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C965C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руб., бюдже</w:t>
      </w:r>
      <w:r w:rsidR="00C965C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тные назначения исполнены на 93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C965CC" w:rsidRPr="00D25321">
        <w:rPr>
          <w:rFonts w:ascii="Times New Roman" w:eastAsia="Calibri" w:hAnsi="Times New Roman" w:cs="Calibri"/>
          <w:sz w:val="24"/>
          <w:szCs w:val="24"/>
          <w:lang w:eastAsia="ar-SA"/>
        </w:rPr>
        <w:t>3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%;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-  прочие безвозмездные поступления (денежные пож</w:t>
      </w:r>
      <w:r w:rsidR="00DC091F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ертвования от физических лиц) 199,0 тыс. руб., или 284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,0 %;</w:t>
      </w:r>
    </w:p>
    <w:p w:rsidR="00DC091F" w:rsidRPr="00D25321" w:rsidRDefault="00DC091F" w:rsidP="00DC091F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-  прочие безвозмездные поступления в бюджеты городских округов 1,2 тыс. руб. (поступления не планировались);</w:t>
      </w:r>
    </w:p>
    <w:p w:rsidR="00F72521" w:rsidRPr="00D25321" w:rsidRDefault="00DC091F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доходы бюджетов бюджетной системы от возврата бюджетами остатков субсидий, субвенций и иных трансфертов, имеющих целевое назначение, прошлых лет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1,2 </w:t>
      </w:r>
      <w:r w:rsidR="00F72521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тыс. руб.;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-   возврат остатков субсидий, субвенций и иных межбюджетных трансфертов, имеющих целевое назначение, прошлых лет (-1</w:t>
      </w:r>
      <w:r w:rsidR="00DC091F" w:rsidRPr="00D25321">
        <w:rPr>
          <w:rFonts w:ascii="Times New Roman" w:eastAsia="Calibri" w:hAnsi="Times New Roman" w:cs="Calibri"/>
          <w:sz w:val="24"/>
          <w:szCs w:val="24"/>
          <w:lang w:eastAsia="ar-SA"/>
        </w:rPr>
        <w:t>934,3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) тыс. руб.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Дефицит бюджета, источники его покрытия, состояние муниципального долга.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Решением Михайловской городской Думы «О б</w:t>
      </w:r>
      <w:r w:rsidR="00833DBE" w:rsidRPr="00D25321">
        <w:rPr>
          <w:rFonts w:ascii="Times New Roman" w:eastAsia="Calibri" w:hAnsi="Times New Roman" w:cs="Calibri"/>
          <w:sz w:val="24"/>
          <w:szCs w:val="24"/>
          <w:lang w:eastAsia="ar-SA"/>
        </w:rPr>
        <w:t>юджете городского округа на 2017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год» от 29.12.201</w:t>
      </w:r>
      <w:r w:rsidR="006C59E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6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№ 1</w:t>
      </w:r>
      <w:r w:rsidR="006C59E3" w:rsidRPr="00D25321">
        <w:rPr>
          <w:rFonts w:ascii="Times New Roman" w:eastAsia="Calibri" w:hAnsi="Times New Roman" w:cs="Calibri"/>
          <w:sz w:val="24"/>
          <w:szCs w:val="24"/>
          <w:lang w:eastAsia="ar-SA"/>
        </w:rPr>
        <w:t>122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дефицит бюджета </w:t>
      </w:r>
      <w:r w:rsidR="00833DBE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не планировался.  В течение 2017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дефицит бюджета городского округа изменялся  в сторону увеличения до  </w:t>
      </w:r>
      <w:r w:rsidR="00833DBE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42185</w:t>
      </w:r>
      <w:r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33DBE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Фактически при исполнении бюджета сложился дефицит в сумме </w:t>
      </w:r>
      <w:r w:rsidR="00833DBE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21173</w:t>
      </w:r>
      <w:r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33DBE" w:rsidRPr="00D2532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</w:t>
      </w:r>
      <w:r w:rsidR="0077406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Источники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финансирования дефицита бюджета</w:t>
      </w:r>
      <w:r w:rsidR="00774062"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изменение остатков средств на счет</w:t>
      </w:r>
      <w:r w:rsidR="00774062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ах по учету средств 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бюджета городского округа</w:t>
      </w:r>
      <w:r w:rsidR="00774062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течение соответствующего финансового года в сумме 36467,2 тыс. руб.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4"/>
        <w:gridCol w:w="1453"/>
        <w:gridCol w:w="1133"/>
        <w:gridCol w:w="1167"/>
        <w:gridCol w:w="1137"/>
        <w:gridCol w:w="1335"/>
        <w:gridCol w:w="1137"/>
        <w:gridCol w:w="1335"/>
      </w:tblGrid>
      <w:tr w:rsidR="00D25321" w:rsidRPr="00D25321" w:rsidTr="006B0F90">
        <w:trPr>
          <w:cantSplit/>
          <w:trHeight w:hRule="exact" w:val="540"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D25321" w:rsidRDefault="00833DBE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Утверждено на 2017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Фактическое исполнение</w:t>
            </w:r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Отклонение к первоначальным плановым показателям</w:t>
            </w:r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Отклонение к уточненным плановым показателям</w:t>
            </w:r>
          </w:p>
        </w:tc>
      </w:tr>
      <w:tr w:rsidR="00D25321" w:rsidRPr="00D25321" w:rsidTr="006B0F90">
        <w:trPr>
          <w:cantSplit/>
          <w:trHeight w:hRule="exact" w:val="160"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6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Первоначальные плановые показатели</w:t>
            </w:r>
          </w:p>
        </w:tc>
        <w:tc>
          <w:tcPr>
            <w:tcW w:w="59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Уточненные плановые показатели</w:t>
            </w: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D25321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25321" w:rsidRPr="00D25321" w:rsidTr="006B0F90">
        <w:trPr>
          <w:cantSplit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6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D25321" w:rsidRDefault="00F72521" w:rsidP="00F72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Абсолютное 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Относительное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Абсолютное 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Относительное</w:t>
            </w:r>
          </w:p>
        </w:tc>
      </w:tr>
      <w:tr w:rsidR="00D25321" w:rsidRPr="00D25321" w:rsidTr="006B0F90">
        <w:trPr>
          <w:trHeight w:val="255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Дефицит</w:t>
            </w: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833DBE" w:rsidP="00833DB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42185</w:t>
            </w:r>
            <w:r w:rsidR="00F72521"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833DBE" w:rsidP="00833DB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21173</w:t>
            </w:r>
            <w:r w:rsidR="00F72521"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833DBE" w:rsidP="00833DB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21173</w:t>
            </w:r>
            <w:r w:rsidR="00F72521"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D25321" w:rsidRDefault="00833DBE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253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-21011,5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D25321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Кредиты юридическим лицам из бюджета городского округа город Михайловка не выдавались, муниципальные гарантии не представлялись.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>Состояние дебиторской и кредиторской задолженности.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тыс. руб.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2819"/>
        <w:gridCol w:w="1688"/>
        <w:gridCol w:w="1690"/>
        <w:gridCol w:w="1688"/>
        <w:gridCol w:w="1686"/>
      </w:tblGrid>
      <w:tr w:rsidR="002A6CC6" w:rsidRPr="00D25321" w:rsidTr="002A6CC6">
        <w:trPr>
          <w:trHeight w:val="74"/>
        </w:trPr>
        <w:tc>
          <w:tcPr>
            <w:tcW w:w="1472" w:type="pct"/>
          </w:tcPr>
          <w:p w:rsidR="00F72521" w:rsidRPr="00D25321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5" w:type="pct"/>
            <w:gridSpan w:val="2"/>
          </w:tcPr>
          <w:p w:rsidR="00F72521" w:rsidRPr="00D25321" w:rsidRDefault="00683692" w:rsidP="00F72521">
            <w:pPr>
              <w:autoSpaceDE w:val="0"/>
              <w:spacing w:line="100" w:lineRule="atLeast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На 01.01.2017</w:t>
            </w:r>
          </w:p>
        </w:tc>
        <w:tc>
          <w:tcPr>
            <w:tcW w:w="1764" w:type="pct"/>
            <w:gridSpan w:val="2"/>
          </w:tcPr>
          <w:p w:rsidR="00F72521" w:rsidRPr="00D25321" w:rsidRDefault="00683692" w:rsidP="00F72521">
            <w:pPr>
              <w:autoSpaceDE w:val="0"/>
              <w:spacing w:line="100" w:lineRule="atLeast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D25321">
              <w:rPr>
                <w:rFonts w:eastAsia="Calibri" w:cs="Calibri"/>
                <w:sz w:val="24"/>
                <w:szCs w:val="24"/>
                <w:lang w:eastAsia="ar-SA"/>
              </w:rPr>
              <w:t>На 01.01.2018</w:t>
            </w:r>
          </w:p>
        </w:tc>
      </w:tr>
      <w:tr w:rsidR="00F72521" w:rsidRPr="00D25321" w:rsidTr="002A6CC6">
        <w:tc>
          <w:tcPr>
            <w:tcW w:w="1472" w:type="pct"/>
          </w:tcPr>
          <w:p w:rsidR="00F72521" w:rsidRPr="00D25321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pct"/>
          </w:tcPr>
          <w:p w:rsidR="00F72521" w:rsidRPr="00D25321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всего</w:t>
            </w:r>
          </w:p>
        </w:tc>
        <w:tc>
          <w:tcPr>
            <w:tcW w:w="882" w:type="pct"/>
          </w:tcPr>
          <w:p w:rsidR="00F72521" w:rsidRPr="00D25321" w:rsidRDefault="00F72521" w:rsidP="002A6CC6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В том числе просроченная задолженность</w:t>
            </w:r>
          </w:p>
        </w:tc>
        <w:tc>
          <w:tcPr>
            <w:tcW w:w="882" w:type="pct"/>
          </w:tcPr>
          <w:p w:rsidR="00F72521" w:rsidRPr="00D25321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всего</w:t>
            </w:r>
          </w:p>
        </w:tc>
        <w:tc>
          <w:tcPr>
            <w:tcW w:w="882" w:type="pct"/>
          </w:tcPr>
          <w:p w:rsidR="00F72521" w:rsidRPr="00D25321" w:rsidRDefault="00F72521" w:rsidP="002A6CC6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В том числе просроченная задолженность</w:t>
            </w:r>
          </w:p>
        </w:tc>
      </w:tr>
      <w:tr w:rsidR="002A6CC6" w:rsidRPr="00D25321" w:rsidTr="002A6CC6">
        <w:tc>
          <w:tcPr>
            <w:tcW w:w="1472" w:type="pct"/>
          </w:tcPr>
          <w:p w:rsidR="002A6CC6" w:rsidRPr="00D25321" w:rsidRDefault="002A6CC6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 xml:space="preserve">Дебиторская задолженность </w:t>
            </w:r>
          </w:p>
        </w:tc>
        <w:tc>
          <w:tcPr>
            <w:tcW w:w="882" w:type="pct"/>
          </w:tcPr>
          <w:p w:rsidR="002A6CC6" w:rsidRPr="00D25321" w:rsidRDefault="00675A09" w:rsidP="00F444BB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115908,3</w:t>
            </w:r>
          </w:p>
        </w:tc>
        <w:tc>
          <w:tcPr>
            <w:tcW w:w="882" w:type="pct"/>
          </w:tcPr>
          <w:p w:rsidR="002A6CC6" w:rsidRPr="00D25321" w:rsidRDefault="002A6CC6" w:rsidP="00F444BB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882" w:type="pct"/>
          </w:tcPr>
          <w:p w:rsidR="002A6CC6" w:rsidRPr="00D25321" w:rsidRDefault="002A6CC6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116711,8</w:t>
            </w:r>
          </w:p>
        </w:tc>
        <w:tc>
          <w:tcPr>
            <w:tcW w:w="882" w:type="pct"/>
          </w:tcPr>
          <w:p w:rsidR="002A6CC6" w:rsidRPr="00D25321" w:rsidRDefault="00196777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103584,6</w:t>
            </w:r>
          </w:p>
        </w:tc>
      </w:tr>
      <w:tr w:rsidR="002A6CC6" w:rsidRPr="00D25321" w:rsidTr="002A6CC6">
        <w:tc>
          <w:tcPr>
            <w:tcW w:w="1472" w:type="pct"/>
          </w:tcPr>
          <w:p w:rsidR="002A6CC6" w:rsidRPr="00D25321" w:rsidRDefault="002A6CC6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Кредиторская задолженность</w:t>
            </w:r>
          </w:p>
        </w:tc>
        <w:tc>
          <w:tcPr>
            <w:tcW w:w="882" w:type="pct"/>
          </w:tcPr>
          <w:p w:rsidR="002A6CC6" w:rsidRPr="00D25321" w:rsidRDefault="00675A09" w:rsidP="00F444BB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57765,0</w:t>
            </w:r>
          </w:p>
        </w:tc>
        <w:tc>
          <w:tcPr>
            <w:tcW w:w="882" w:type="pct"/>
          </w:tcPr>
          <w:p w:rsidR="002A6CC6" w:rsidRPr="00D25321" w:rsidRDefault="00675A09" w:rsidP="00F444BB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25101,9</w:t>
            </w:r>
          </w:p>
        </w:tc>
        <w:tc>
          <w:tcPr>
            <w:tcW w:w="882" w:type="pct"/>
          </w:tcPr>
          <w:p w:rsidR="002A6CC6" w:rsidRPr="00D25321" w:rsidRDefault="00B72402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65782,3</w:t>
            </w:r>
          </w:p>
        </w:tc>
        <w:tc>
          <w:tcPr>
            <w:tcW w:w="882" w:type="pct"/>
          </w:tcPr>
          <w:p w:rsidR="002A6CC6" w:rsidRPr="00D25321" w:rsidRDefault="00B72402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lang w:eastAsia="ar-SA"/>
              </w:rPr>
            </w:pPr>
            <w:r w:rsidRPr="00D25321">
              <w:rPr>
                <w:rFonts w:eastAsia="Calibri" w:cs="Calibri"/>
                <w:lang w:eastAsia="ar-SA"/>
              </w:rPr>
              <w:t>18482,3</w:t>
            </w:r>
          </w:p>
        </w:tc>
      </w:tr>
    </w:tbl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2532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 </w:t>
      </w:r>
      <w:proofErr w:type="gramStart"/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Дебиторская задолженность бюджета города по состоянию на 01.</w:t>
      </w:r>
      <w:r w:rsidR="00BC746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01.2018 года увеличилась на 803,5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по сравнению с</w:t>
      </w:r>
      <w:r w:rsidR="00BC7469"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началом года и составила 116711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BC746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Дебиторская задолженность складывается в основном из </w:t>
      </w:r>
      <w:r w:rsidR="00BC7469" w:rsidRPr="00D25321">
        <w:rPr>
          <w:rFonts w:ascii="Times New Roman" w:eastAsia="Calibri" w:hAnsi="Times New Roman" w:cs="Calibri"/>
          <w:sz w:val="24"/>
          <w:szCs w:val="24"/>
          <w:lang w:eastAsia="ar-SA"/>
        </w:rPr>
        <w:t>задолженности по доходам - 82101,8</w:t>
      </w:r>
      <w:r w:rsidRPr="00D2532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тыс. руб. (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расчеты с плательщиками доходов от собственности </w:t>
      </w:r>
      <w:r w:rsidR="00E23711" w:rsidRPr="00D25321">
        <w:rPr>
          <w:rFonts w:ascii="Times New Roman" w:hAnsi="Times New Roman" w:cs="Calibri"/>
          <w:sz w:val="24"/>
          <w:szCs w:val="24"/>
          <w:lang w:eastAsia="ar-SA"/>
        </w:rPr>
        <w:t>70942,2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E23711" w:rsidRPr="00D25321">
        <w:rPr>
          <w:rFonts w:ascii="Times New Roman" w:hAnsi="Times New Roman" w:cs="Calibri"/>
          <w:sz w:val="24"/>
          <w:szCs w:val="24"/>
          <w:lang w:eastAsia="ar-SA"/>
        </w:rPr>
        <w:t>(+ 5293,8 тыс. руб.)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, расчеты с плательщиками доход</w:t>
      </w:r>
      <w:r w:rsidR="00E23711" w:rsidRPr="00D25321">
        <w:rPr>
          <w:rFonts w:ascii="Times New Roman" w:hAnsi="Times New Roman" w:cs="Calibri"/>
          <w:sz w:val="24"/>
          <w:szCs w:val="24"/>
          <w:lang w:eastAsia="ar-SA"/>
        </w:rPr>
        <w:t>ов от оказания платных услуг 1126,1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E23711" w:rsidRPr="00D25321">
        <w:rPr>
          <w:rFonts w:ascii="Times New Roman" w:hAnsi="Times New Roman" w:cs="Calibri"/>
          <w:sz w:val="24"/>
          <w:szCs w:val="24"/>
          <w:lang w:eastAsia="ar-SA"/>
        </w:rPr>
        <w:t>(+274,8</w:t>
      </w:r>
      <w:proofErr w:type="gramEnd"/>
      <w:r w:rsidR="00E23711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руб.)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, расчеты по доходам от </w:t>
      </w:r>
      <w:r w:rsidR="00C12CE4" w:rsidRPr="00D25321">
        <w:rPr>
          <w:rFonts w:ascii="Times New Roman" w:hAnsi="Times New Roman" w:cs="Calibri"/>
          <w:sz w:val="24"/>
          <w:szCs w:val="24"/>
          <w:lang w:eastAsia="ar-SA"/>
        </w:rPr>
        <w:t xml:space="preserve">операций с основными средствами </w:t>
      </w:r>
      <w:r w:rsidR="00E23711" w:rsidRPr="00D25321">
        <w:rPr>
          <w:rFonts w:ascii="Times New Roman" w:hAnsi="Times New Roman" w:cs="Calibri"/>
          <w:sz w:val="24"/>
          <w:szCs w:val="24"/>
          <w:lang w:eastAsia="ar-SA"/>
        </w:rPr>
        <w:t>9315,9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E23711" w:rsidRPr="00D25321">
        <w:rPr>
          <w:rFonts w:ascii="Times New Roman" w:hAnsi="Times New Roman" w:cs="Calibri"/>
          <w:sz w:val="24"/>
          <w:szCs w:val="24"/>
          <w:lang w:eastAsia="ar-SA"/>
        </w:rPr>
        <w:t>(-1697,7 тыс. руб.)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6B4327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расчеты по доходам от операций с непроизведенными активами 629,6 тыс. руб.</w:t>
      </w:r>
      <w:proofErr w:type="gramStart"/>
      <w:r w:rsidR="006B4327" w:rsidRPr="00D25321">
        <w:rPr>
          <w:rFonts w:ascii="Times New Roman" w:hAnsi="Times New Roman" w:cs="Calibri"/>
          <w:sz w:val="24"/>
          <w:szCs w:val="24"/>
          <w:lang w:eastAsia="ar-SA"/>
        </w:rPr>
        <w:t xml:space="preserve">( </w:t>
      </w:r>
      <w:proofErr w:type="gramEnd"/>
      <w:r w:rsidR="006B4327" w:rsidRPr="00D25321">
        <w:rPr>
          <w:rFonts w:ascii="Times New Roman" w:hAnsi="Times New Roman" w:cs="Calibri"/>
          <w:sz w:val="24"/>
          <w:szCs w:val="24"/>
          <w:lang w:eastAsia="ar-SA"/>
        </w:rPr>
        <w:t>+554,9 тыс. руб.)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и пр.), </w:t>
      </w:r>
      <w:r w:rsidR="004A3A66" w:rsidRPr="00D25321">
        <w:rPr>
          <w:rFonts w:ascii="Times New Roman" w:hAnsi="Times New Roman" w:cs="Calibri"/>
          <w:sz w:val="24"/>
          <w:szCs w:val="24"/>
          <w:lang w:eastAsia="ar-SA"/>
        </w:rPr>
        <w:t>задолженности по расходам 1243,5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 (</w:t>
      </w:r>
      <w:r w:rsidR="004A3A66" w:rsidRPr="00D25321">
        <w:rPr>
          <w:rFonts w:ascii="Times New Roman" w:hAnsi="Times New Roman" w:cs="Calibri"/>
          <w:sz w:val="24"/>
          <w:szCs w:val="24"/>
          <w:lang w:eastAsia="ar-SA"/>
        </w:rPr>
        <w:t>расчеты по оплате труда 24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4A3A66" w:rsidRPr="00D25321">
        <w:rPr>
          <w:rFonts w:ascii="Times New Roman" w:hAnsi="Times New Roman" w:cs="Calibri"/>
          <w:sz w:val="24"/>
          <w:szCs w:val="24"/>
          <w:lang w:eastAsia="ar-SA"/>
        </w:rPr>
        <w:t>2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руб., а</w:t>
      </w:r>
      <w:r w:rsidR="004A3A66" w:rsidRPr="00D25321">
        <w:rPr>
          <w:rFonts w:ascii="Times New Roman" w:hAnsi="Times New Roman" w:cs="Calibri"/>
          <w:sz w:val="24"/>
          <w:szCs w:val="24"/>
          <w:lang w:eastAsia="ar-SA"/>
        </w:rPr>
        <w:t>ванс по коммунальным услугам 2,2 тыс. руб., приобретение нефтепродуктов 29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4A3A66" w:rsidRPr="00D25321">
        <w:rPr>
          <w:rFonts w:ascii="Times New Roman" w:hAnsi="Times New Roman" w:cs="Calibri"/>
          <w:sz w:val="24"/>
          <w:szCs w:val="24"/>
          <w:lang w:eastAsia="ar-SA"/>
        </w:rPr>
        <w:t>2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руб., приобретение основных средств </w:t>
      </w:r>
      <w:proofErr w:type="gramStart"/>
      <w:r w:rsidRPr="00D25321">
        <w:rPr>
          <w:rFonts w:ascii="Times New Roman" w:hAnsi="Times New Roman" w:cs="Calibri"/>
          <w:sz w:val="24"/>
          <w:szCs w:val="24"/>
          <w:lang w:eastAsia="ar-SA"/>
        </w:rPr>
        <w:t>25,9 тыс. руб.</w:t>
      </w:r>
      <w:r w:rsidR="00691EEA" w:rsidRPr="00D25321">
        <w:rPr>
          <w:rFonts w:ascii="Times New Roman" w:hAnsi="Times New Roman" w:cs="Calibri"/>
          <w:sz w:val="24"/>
          <w:szCs w:val="24"/>
          <w:lang w:eastAsia="ar-SA"/>
        </w:rPr>
        <w:t>, расчеты с подотчетными лицами по оплате услуг связи 895,4 тыс. руб.</w:t>
      </w:r>
      <w:r w:rsidR="006B0F90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C62445" w:rsidRPr="00D25321">
        <w:rPr>
          <w:rFonts w:ascii="Times New Roman" w:hAnsi="Times New Roman" w:cs="Calibri"/>
          <w:sz w:val="24"/>
          <w:szCs w:val="24"/>
          <w:lang w:eastAsia="ar-SA"/>
        </w:rPr>
        <w:t>(выданы конв</w:t>
      </w:r>
      <w:r w:rsidR="006B0F90" w:rsidRPr="00D25321">
        <w:rPr>
          <w:rFonts w:ascii="Times New Roman" w:hAnsi="Times New Roman" w:cs="Calibri"/>
          <w:sz w:val="24"/>
          <w:szCs w:val="24"/>
          <w:lang w:eastAsia="ar-SA"/>
        </w:rPr>
        <w:t>ерты, марки в декабре 2017 года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), задолженности по ущербу и другим д</w:t>
      </w:r>
      <w:r w:rsidR="00C62445" w:rsidRPr="00D25321">
        <w:rPr>
          <w:rFonts w:ascii="Times New Roman" w:hAnsi="Times New Roman" w:cs="Calibri"/>
          <w:sz w:val="24"/>
          <w:szCs w:val="24"/>
          <w:lang w:eastAsia="ar-SA"/>
        </w:rPr>
        <w:t>оходам  32969,8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6B0F90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C62445" w:rsidRPr="00D25321">
        <w:rPr>
          <w:rFonts w:ascii="Times New Roman" w:hAnsi="Times New Roman" w:cs="Calibri"/>
          <w:sz w:val="24"/>
          <w:szCs w:val="24"/>
          <w:lang w:eastAsia="ar-SA"/>
        </w:rPr>
        <w:t>(-4316,1 тыс. руб.)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(наиболее крупные суммы: неотработанный подрядчиком аванс по строительству детского сада в п. Отрадное в сумме 21522,7 тыс. руб.,   аванс за работы по строительству сельских участковых больниц в</w:t>
      </w:r>
      <w:proofErr w:type="gramEnd"/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х. Плотников-2, </w:t>
      </w:r>
      <w:proofErr w:type="spellStart"/>
      <w:r w:rsidRPr="00D25321">
        <w:rPr>
          <w:rFonts w:ascii="Times New Roman" w:hAnsi="Times New Roman" w:cs="Calibri"/>
          <w:sz w:val="24"/>
          <w:szCs w:val="24"/>
          <w:lang w:eastAsia="ar-SA"/>
        </w:rPr>
        <w:t>х</w:t>
      </w:r>
      <w:proofErr w:type="gramStart"/>
      <w:r w:rsidRPr="00D25321">
        <w:rPr>
          <w:rFonts w:ascii="Times New Roman" w:hAnsi="Times New Roman" w:cs="Calibri"/>
          <w:sz w:val="24"/>
          <w:szCs w:val="24"/>
          <w:lang w:eastAsia="ar-SA"/>
        </w:rPr>
        <w:t>.Т</w:t>
      </w:r>
      <w:proofErr w:type="gramEnd"/>
      <w:r w:rsidRPr="00D25321">
        <w:rPr>
          <w:rFonts w:ascii="Times New Roman" w:hAnsi="Times New Roman" w:cs="Calibri"/>
          <w:sz w:val="24"/>
          <w:szCs w:val="24"/>
          <w:lang w:eastAsia="ar-SA"/>
        </w:rPr>
        <w:t>роицкий</w:t>
      </w:r>
      <w:proofErr w:type="spellEnd"/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2962,3 тыс. руб., неустойка по муниципальным контрактам за нарушение сроков выполнения работ по решениям суда 11</w:t>
      </w:r>
      <w:r w:rsidR="00C62445" w:rsidRPr="00D25321">
        <w:rPr>
          <w:rFonts w:ascii="Times New Roman" w:hAnsi="Times New Roman" w:cs="Calibri"/>
          <w:sz w:val="24"/>
          <w:szCs w:val="24"/>
          <w:lang w:eastAsia="ar-SA"/>
        </w:rPr>
        <w:t>206,4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руб., задолженность по возмещению из Фонда социального страхования и пере</w:t>
      </w:r>
      <w:r w:rsidR="00C62445" w:rsidRPr="00D25321">
        <w:rPr>
          <w:rFonts w:ascii="Times New Roman" w:hAnsi="Times New Roman" w:cs="Calibri"/>
          <w:sz w:val="24"/>
          <w:szCs w:val="24"/>
          <w:lang w:eastAsia="ar-SA"/>
        </w:rPr>
        <w:t>платы по налогу на имущество 643,3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</w:t>
      </w:r>
      <w:r w:rsidR="00C62445" w:rsidRPr="00D25321">
        <w:rPr>
          <w:rFonts w:ascii="Times New Roman" w:hAnsi="Times New Roman" w:cs="Calibri"/>
          <w:sz w:val="24"/>
          <w:szCs w:val="24"/>
          <w:lang w:eastAsia="ar-SA"/>
        </w:rPr>
        <w:t>ыс. руб.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). </w:t>
      </w:r>
      <w:proofErr w:type="gramStart"/>
      <w:r w:rsidRPr="00D25321">
        <w:rPr>
          <w:rFonts w:ascii="Times New Roman" w:hAnsi="Times New Roman" w:cs="Calibri"/>
          <w:sz w:val="24"/>
          <w:szCs w:val="24"/>
          <w:lang w:eastAsia="ar-SA"/>
        </w:rPr>
        <w:t>Рост задолженности сложился</w:t>
      </w:r>
      <w:r w:rsidR="00C62445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в основном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: по арендной плате за </w:t>
      </w:r>
      <w:r w:rsidR="00B72402" w:rsidRPr="00D25321">
        <w:rPr>
          <w:rFonts w:ascii="Times New Roman" w:hAnsi="Times New Roman" w:cs="Calibri"/>
          <w:sz w:val="24"/>
          <w:szCs w:val="24"/>
          <w:lang w:eastAsia="ar-SA"/>
        </w:rPr>
        <w:t>земельные участки на сумму 5917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B72402" w:rsidRPr="00D25321">
        <w:rPr>
          <w:rFonts w:ascii="Times New Roman" w:hAnsi="Times New Roman" w:cs="Calibri"/>
          <w:sz w:val="24"/>
          <w:szCs w:val="24"/>
          <w:lang w:eastAsia="ar-SA"/>
        </w:rPr>
        <w:t>6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руб., </w:t>
      </w:r>
      <w:r w:rsidR="00B72402" w:rsidRPr="00D25321">
        <w:rPr>
          <w:rFonts w:ascii="Times New Roman" w:hAnsi="Times New Roman" w:cs="Calibri"/>
          <w:sz w:val="24"/>
          <w:szCs w:val="24"/>
          <w:lang w:eastAsia="ar-SA"/>
        </w:rPr>
        <w:t>задолженность по родительской плате за уход и присмотр за детьми на сумму 182.6 тыс. руб., по доходам от сдачи в аренду имущества, составляющего муниципальную казну (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по плате по договорам социального найма и найма мун</w:t>
      </w:r>
      <w:r w:rsidR="00B72402" w:rsidRPr="00D25321">
        <w:rPr>
          <w:rFonts w:ascii="Times New Roman" w:hAnsi="Times New Roman" w:cs="Calibri"/>
          <w:sz w:val="24"/>
          <w:szCs w:val="24"/>
          <w:lang w:eastAsia="ar-SA"/>
        </w:rPr>
        <w:t>иципального жилого фонда на 469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B72402" w:rsidRPr="00D25321">
        <w:rPr>
          <w:rFonts w:ascii="Times New Roman" w:hAnsi="Times New Roman" w:cs="Calibri"/>
          <w:sz w:val="24"/>
          <w:szCs w:val="24"/>
          <w:lang w:eastAsia="ar-SA"/>
        </w:rPr>
        <w:t>3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r w:rsidR="006B0F90" w:rsidRPr="00D25321">
        <w:rPr>
          <w:rFonts w:ascii="Times New Roman" w:hAnsi="Times New Roman" w:cs="Calibri"/>
          <w:sz w:val="24"/>
          <w:szCs w:val="24"/>
          <w:lang w:eastAsia="ar-SA"/>
        </w:rPr>
        <w:t>.</w:t>
      </w:r>
      <w:r w:rsidR="00B72402" w:rsidRPr="00D25321">
        <w:rPr>
          <w:rFonts w:ascii="Times New Roman" w:hAnsi="Times New Roman" w:cs="Calibri"/>
          <w:sz w:val="24"/>
          <w:szCs w:val="24"/>
          <w:lang w:eastAsia="ar-SA"/>
        </w:rPr>
        <w:t>)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.</w:t>
      </w:r>
      <w:proofErr w:type="gramEnd"/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           Кредиторская задолженность составляет на 01.01.201</w:t>
      </w:r>
      <w:r w:rsidR="00B72402" w:rsidRPr="00D25321">
        <w:rPr>
          <w:rFonts w:ascii="Times New Roman" w:hAnsi="Times New Roman" w:cs="Calibri"/>
          <w:sz w:val="24"/>
          <w:szCs w:val="24"/>
          <w:lang w:eastAsia="ar-SA"/>
        </w:rPr>
        <w:t>8 г. 65782,3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руб., из них</w:t>
      </w:r>
      <w:r w:rsidR="006B0F90" w:rsidRPr="00D25321">
        <w:rPr>
          <w:rFonts w:ascii="Times New Roman" w:hAnsi="Times New Roman" w:cs="Calibri"/>
          <w:sz w:val="24"/>
          <w:szCs w:val="24"/>
          <w:lang w:eastAsia="ar-SA"/>
        </w:rPr>
        <w:t>: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1. </w:t>
      </w:r>
      <w:proofErr w:type="gramStart"/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Расчеты </w:t>
      </w:r>
      <w:r w:rsidR="00B72402" w:rsidRPr="00D25321">
        <w:rPr>
          <w:rFonts w:ascii="Times New Roman" w:hAnsi="Times New Roman" w:cs="Calibri"/>
          <w:sz w:val="24"/>
          <w:szCs w:val="24"/>
          <w:lang w:eastAsia="ar-SA"/>
        </w:rPr>
        <w:t>по принятым обязательствам 36003,5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 </w:t>
      </w:r>
      <w:r w:rsidR="00B72402" w:rsidRPr="00D25321">
        <w:rPr>
          <w:rFonts w:ascii="Times New Roman" w:hAnsi="Times New Roman" w:cs="Calibri"/>
          <w:sz w:val="24"/>
          <w:szCs w:val="24"/>
          <w:lang w:eastAsia="ar-SA"/>
        </w:rPr>
        <w:t>(+</w:t>
      </w:r>
      <w:r w:rsidR="00AC0243" w:rsidRPr="00D25321">
        <w:rPr>
          <w:rFonts w:ascii="Times New Roman" w:hAnsi="Times New Roman" w:cs="Calibri"/>
          <w:sz w:val="24"/>
          <w:szCs w:val="24"/>
          <w:lang w:eastAsia="ar-SA"/>
        </w:rPr>
        <w:t>12252,3 тыс. руб.),</w:t>
      </w:r>
      <w:r w:rsidR="006B0F90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в том числе </w:t>
      </w:r>
      <w:r w:rsidR="00AC0243" w:rsidRPr="00D25321">
        <w:rPr>
          <w:rFonts w:ascii="Times New Roman" w:hAnsi="Times New Roman" w:cs="Calibri"/>
          <w:sz w:val="24"/>
          <w:szCs w:val="24"/>
          <w:lang w:eastAsia="ar-SA"/>
        </w:rPr>
        <w:t>задолженность арендаторам за питание детей в образовательных учреждениях 1892,7 тыс. руб.</w:t>
      </w:r>
      <w:r w:rsidR="00814C2D" w:rsidRPr="00D25321">
        <w:rPr>
          <w:rFonts w:ascii="Times New Roman" w:hAnsi="Times New Roman" w:cs="Calibri"/>
          <w:sz w:val="24"/>
          <w:szCs w:val="24"/>
          <w:lang w:eastAsia="ar-SA"/>
        </w:rPr>
        <w:t>, за питание в ГДО и ГПД 2480,1 тыс. руб., задолженность по строительству водовода в х. Глинище  1077,5 тыс. руб., и за работы по благоустройству территории в с. Сидоры в сумме 2265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,5 тыс. руб. (средства п</w:t>
      </w:r>
      <w:r w:rsidR="00814C2D" w:rsidRPr="00D25321">
        <w:rPr>
          <w:rFonts w:ascii="Times New Roman" w:hAnsi="Times New Roman" w:cs="Calibri"/>
          <w:sz w:val="24"/>
          <w:szCs w:val="24"/>
          <w:lang w:eastAsia="ar-SA"/>
        </w:rPr>
        <w:t>еречислены Комитетом</w:t>
      </w:r>
      <w:proofErr w:type="gramEnd"/>
      <w:r w:rsidR="00814C2D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ЖКХ и ТЭК 30.12.2017 г. с указанием неверного кода БК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), по комм</w:t>
      </w:r>
      <w:r w:rsidR="00AC0243" w:rsidRPr="00D25321">
        <w:rPr>
          <w:rFonts w:ascii="Times New Roman" w:hAnsi="Times New Roman" w:cs="Calibri"/>
          <w:sz w:val="24"/>
          <w:szCs w:val="24"/>
          <w:lang w:eastAsia="ar-SA"/>
        </w:rPr>
        <w:t>унальным услугам за декабрь 2017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года </w:t>
      </w:r>
      <w:r w:rsidR="00AC0243" w:rsidRPr="00D25321">
        <w:rPr>
          <w:rFonts w:ascii="Times New Roman" w:hAnsi="Times New Roman" w:cs="Calibri"/>
          <w:sz w:val="24"/>
          <w:szCs w:val="24"/>
          <w:lang w:eastAsia="ar-SA"/>
        </w:rPr>
        <w:t>15289,2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</w:t>
      </w:r>
      <w:proofErr w:type="gramStart"/>
      <w:r w:rsidRPr="00D25321">
        <w:rPr>
          <w:rFonts w:ascii="Times New Roman" w:hAnsi="Times New Roman" w:cs="Calibri"/>
          <w:sz w:val="24"/>
          <w:szCs w:val="24"/>
          <w:lang w:eastAsia="ar-SA"/>
        </w:rPr>
        <w:t>.</w:t>
      </w:r>
      <w:r w:rsidR="00AC0243" w:rsidRPr="00D25321">
        <w:rPr>
          <w:rFonts w:ascii="Times New Roman" w:hAnsi="Times New Roman" w:cs="Calibri"/>
          <w:sz w:val="24"/>
          <w:szCs w:val="24"/>
          <w:lang w:eastAsia="ar-SA"/>
        </w:rPr>
        <w:t>(</w:t>
      </w:r>
      <w:proofErr w:type="gramEnd"/>
      <w:r w:rsidR="00AC0243" w:rsidRPr="00D25321">
        <w:rPr>
          <w:rFonts w:ascii="Times New Roman" w:hAnsi="Times New Roman" w:cs="Calibri"/>
          <w:sz w:val="24"/>
          <w:szCs w:val="24"/>
          <w:lang w:eastAsia="ar-SA"/>
        </w:rPr>
        <w:t>отсутствие средств в бюджете)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,  по </w:t>
      </w:r>
      <w:r w:rsidR="00AC0243" w:rsidRPr="00D25321">
        <w:rPr>
          <w:rFonts w:ascii="Times New Roman" w:hAnsi="Times New Roman" w:cs="Calibri"/>
          <w:sz w:val="24"/>
          <w:szCs w:val="24"/>
          <w:lang w:eastAsia="ar-SA"/>
        </w:rPr>
        <w:t>работам по содержанию имущества 4968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AC0243" w:rsidRPr="00D25321">
        <w:rPr>
          <w:rFonts w:ascii="Times New Roman" w:hAnsi="Times New Roman" w:cs="Calibri"/>
          <w:sz w:val="24"/>
          <w:szCs w:val="24"/>
          <w:lang w:eastAsia="ar-SA"/>
        </w:rPr>
        <w:t>0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6B0F90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AC0243" w:rsidRPr="00D25321">
        <w:rPr>
          <w:rFonts w:ascii="Times New Roman" w:hAnsi="Times New Roman" w:cs="Calibri"/>
          <w:sz w:val="24"/>
          <w:szCs w:val="24"/>
          <w:lang w:eastAsia="ar-SA"/>
        </w:rPr>
        <w:t>(отсутствие средств в бюджете)</w:t>
      </w:r>
      <w:r w:rsidR="00311137" w:rsidRPr="00D25321">
        <w:rPr>
          <w:rFonts w:ascii="Times New Roman" w:hAnsi="Times New Roman" w:cs="Calibri"/>
          <w:sz w:val="24"/>
          <w:szCs w:val="24"/>
          <w:lang w:eastAsia="ar-SA"/>
        </w:rPr>
        <w:t xml:space="preserve">, по приобретению основных средств (учебников) из-за несвоевременного финансирования из </w:t>
      </w:r>
      <w:r w:rsidR="00311137" w:rsidRPr="00D25321">
        <w:rPr>
          <w:rFonts w:ascii="Times New Roman" w:hAnsi="Times New Roman" w:cs="Calibri"/>
          <w:sz w:val="24"/>
          <w:szCs w:val="24"/>
          <w:lang w:eastAsia="ar-SA"/>
        </w:rPr>
        <w:lastRenderedPageBreak/>
        <w:t>областного бюджета, по приобретению ГСМ, запчастей для оргтехники</w:t>
      </w:r>
      <w:r w:rsidR="000F730C" w:rsidRPr="00D25321">
        <w:rPr>
          <w:rFonts w:ascii="Times New Roman" w:hAnsi="Times New Roman" w:cs="Calibri"/>
          <w:sz w:val="24"/>
          <w:szCs w:val="24"/>
          <w:lang w:eastAsia="ar-SA"/>
        </w:rPr>
        <w:t>, канцтоваров из-за несвоевременного финансирования из областного бюджета органов опеки и попечительства и отсутствия денежных средств в местном бюджете и пр.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);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2.  Расчеты </w:t>
      </w:r>
      <w:proofErr w:type="gramStart"/>
      <w:r w:rsidRPr="00D25321">
        <w:rPr>
          <w:rFonts w:ascii="Times New Roman" w:hAnsi="Times New Roman" w:cs="Calibri"/>
          <w:sz w:val="24"/>
          <w:szCs w:val="24"/>
          <w:lang w:eastAsia="ar-SA"/>
        </w:rPr>
        <w:t>по платежам в бюджеты на уплату страховых взносов во внебюджетн</w:t>
      </w:r>
      <w:r w:rsidR="000F730C" w:rsidRPr="00D25321">
        <w:rPr>
          <w:rFonts w:ascii="Times New Roman" w:hAnsi="Times New Roman" w:cs="Calibri"/>
          <w:sz w:val="24"/>
          <w:szCs w:val="24"/>
          <w:lang w:eastAsia="ar-SA"/>
        </w:rPr>
        <w:t>ые фонды за ноябрь</w:t>
      </w:r>
      <w:proofErr w:type="gramEnd"/>
      <w:r w:rsidR="000F730C" w:rsidRPr="00D25321">
        <w:rPr>
          <w:rFonts w:ascii="Times New Roman" w:hAnsi="Times New Roman" w:cs="Calibri"/>
          <w:sz w:val="24"/>
          <w:szCs w:val="24"/>
          <w:lang w:eastAsia="ar-SA"/>
        </w:rPr>
        <w:t>, декабрь 2017 года 27144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0F730C" w:rsidRPr="00D25321">
        <w:rPr>
          <w:rFonts w:ascii="Times New Roman" w:hAnsi="Times New Roman" w:cs="Calibri"/>
          <w:sz w:val="24"/>
          <w:szCs w:val="24"/>
          <w:lang w:eastAsia="ar-SA"/>
        </w:rPr>
        <w:t>9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руб., в связи с отсутствием финансирования субвенции на общеобразовательный процесс; </w:t>
      </w:r>
    </w:p>
    <w:p w:rsidR="00F72521" w:rsidRPr="00D25321" w:rsidRDefault="00F72521" w:rsidP="00F72521">
      <w:pPr>
        <w:autoSpaceDE w:val="0"/>
        <w:spacing w:after="0" w:line="1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3. </w:t>
      </w:r>
      <w:r w:rsidR="006B0F90" w:rsidRPr="00D25321">
        <w:rPr>
          <w:rFonts w:ascii="Times New Roman" w:hAnsi="Times New Roman" w:cs="Calibri"/>
          <w:sz w:val="24"/>
          <w:szCs w:val="24"/>
          <w:lang w:eastAsia="ar-SA"/>
        </w:rPr>
        <w:t>З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адолженности по доходам </w:t>
      </w:r>
      <w:r w:rsidR="006B0F90" w:rsidRPr="00D25321">
        <w:rPr>
          <w:rFonts w:ascii="Times New Roman" w:hAnsi="Times New Roman" w:cs="Calibri"/>
          <w:sz w:val="24"/>
          <w:szCs w:val="24"/>
          <w:lang w:eastAsia="ar-SA"/>
        </w:rPr>
        <w:t>в сумме 2622,7 тыс. руб</w:t>
      </w:r>
      <w:r w:rsidR="00D46B67" w:rsidRPr="00D25321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в т.</w:t>
      </w:r>
      <w:r w:rsidR="006B0F90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ч. </w:t>
      </w:r>
      <w:r w:rsidR="000F730C" w:rsidRPr="00D25321">
        <w:rPr>
          <w:rFonts w:ascii="Times New Roman" w:hAnsi="Times New Roman" w:cs="Calibri"/>
          <w:sz w:val="24"/>
          <w:szCs w:val="24"/>
          <w:lang w:eastAsia="ar-SA"/>
        </w:rPr>
        <w:t xml:space="preserve">остатки 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субсидий и субвенций</w:t>
      </w:r>
      <w:r w:rsidR="000F730C" w:rsidRPr="00D25321">
        <w:rPr>
          <w:rFonts w:ascii="Times New Roman" w:hAnsi="Times New Roman" w:cs="Calibri"/>
          <w:sz w:val="24"/>
          <w:szCs w:val="24"/>
          <w:lang w:eastAsia="ar-SA"/>
        </w:rPr>
        <w:t>, подлежащих перечислению в областной бюджет 2519,1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руб.;  </w:t>
      </w:r>
    </w:p>
    <w:p w:rsidR="00F72521" w:rsidRPr="00D25321" w:rsidRDefault="00F72521" w:rsidP="00A16F42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           </w:t>
      </w:r>
      <w:proofErr w:type="gramStart"/>
      <w:r w:rsidRPr="00D25321">
        <w:rPr>
          <w:rFonts w:ascii="Times New Roman" w:hAnsi="Times New Roman" w:cs="Calibri"/>
          <w:sz w:val="24"/>
          <w:szCs w:val="24"/>
          <w:lang w:eastAsia="ar-SA"/>
        </w:rPr>
        <w:t>Относительно начала года кредиторская зад</w:t>
      </w:r>
      <w:r w:rsidR="00E05149" w:rsidRPr="00D25321">
        <w:rPr>
          <w:rFonts w:ascii="Times New Roman" w:hAnsi="Times New Roman" w:cs="Calibri"/>
          <w:sz w:val="24"/>
          <w:szCs w:val="24"/>
          <w:lang w:eastAsia="ar-SA"/>
        </w:rPr>
        <w:t>олженность увеличилась  на 8017,3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руб., или на </w:t>
      </w:r>
      <w:r w:rsidR="00E05149" w:rsidRPr="00D25321">
        <w:rPr>
          <w:rFonts w:ascii="Times New Roman" w:hAnsi="Times New Roman" w:cs="Calibri"/>
          <w:sz w:val="24"/>
          <w:szCs w:val="24"/>
          <w:lang w:eastAsia="ar-SA"/>
        </w:rPr>
        <w:t>13,9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%. Рост задолженности объясняется </w:t>
      </w:r>
      <w:r w:rsidR="00E05149" w:rsidRPr="00D25321">
        <w:rPr>
          <w:rFonts w:ascii="Times New Roman" w:hAnsi="Times New Roman" w:cs="Calibri"/>
          <w:sz w:val="24"/>
          <w:szCs w:val="24"/>
          <w:lang w:eastAsia="ar-SA"/>
        </w:rPr>
        <w:t>отсутствием финансирования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E05149" w:rsidRPr="00D25321">
        <w:rPr>
          <w:rFonts w:ascii="Times New Roman" w:hAnsi="Times New Roman" w:cs="Calibri"/>
          <w:sz w:val="24"/>
          <w:szCs w:val="24"/>
          <w:lang w:eastAsia="ar-SA"/>
        </w:rPr>
        <w:t xml:space="preserve">субвенции на общеобразовательный процесс за декабрь </w:t>
      </w:r>
      <w:r w:rsidR="00853429" w:rsidRPr="00D25321">
        <w:rPr>
          <w:rFonts w:ascii="Times New Roman" w:hAnsi="Times New Roman" w:cs="Calibri"/>
          <w:sz w:val="24"/>
          <w:szCs w:val="24"/>
          <w:lang w:eastAsia="ar-SA"/>
        </w:rPr>
        <w:t xml:space="preserve">2017 года </w:t>
      </w:r>
      <w:r w:rsidR="00A16F42" w:rsidRPr="00D25321">
        <w:rPr>
          <w:rFonts w:ascii="Times New Roman" w:hAnsi="Times New Roman" w:cs="Calibri"/>
          <w:sz w:val="24"/>
          <w:szCs w:val="24"/>
          <w:lang w:eastAsia="ar-SA"/>
        </w:rPr>
        <w:t xml:space="preserve">(страховые взносы и пенсионное страхование) </w:t>
      </w:r>
      <w:r w:rsidR="00853429" w:rsidRPr="00D25321">
        <w:rPr>
          <w:rFonts w:ascii="Times New Roman" w:hAnsi="Times New Roman" w:cs="Calibri"/>
          <w:sz w:val="24"/>
          <w:szCs w:val="24"/>
          <w:lang w:eastAsia="ar-SA"/>
        </w:rPr>
        <w:t>в сумме 25108</w:t>
      </w:r>
      <w:r w:rsidR="00E05149" w:rsidRPr="00D25321">
        <w:rPr>
          <w:rFonts w:ascii="Times New Roman" w:hAnsi="Times New Roman" w:cs="Calibri"/>
          <w:sz w:val="24"/>
          <w:szCs w:val="24"/>
          <w:lang w:eastAsia="ar-SA"/>
        </w:rPr>
        <w:t>,9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853429" w:rsidRPr="00D25321">
        <w:rPr>
          <w:rFonts w:ascii="Times New Roman" w:hAnsi="Times New Roman" w:cs="Calibri"/>
          <w:sz w:val="24"/>
          <w:szCs w:val="24"/>
          <w:lang w:eastAsia="ar-SA"/>
        </w:rPr>
        <w:t>, несвоевременное финансирование из областного бюджета на оплату учебников для образовательных организаций в сумме 3529.9 тыс. руб.</w:t>
      </w:r>
      <w:r w:rsidR="00A16F42" w:rsidRPr="00D25321">
        <w:rPr>
          <w:rFonts w:ascii="Times New Roman" w:hAnsi="Times New Roman" w:cs="Calibri"/>
          <w:sz w:val="24"/>
          <w:szCs w:val="24"/>
          <w:lang w:eastAsia="ar-SA"/>
        </w:rPr>
        <w:t>, задолженность по коммунальным услугам – 15289,2 тыс. руб.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A16F42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 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Просроченная</w:t>
      </w:r>
      <w:proofErr w:type="gramEnd"/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кредиторск</w:t>
      </w:r>
      <w:r w:rsidR="00E05149" w:rsidRPr="00D25321">
        <w:rPr>
          <w:rFonts w:ascii="Times New Roman" w:hAnsi="Times New Roman" w:cs="Calibri"/>
          <w:sz w:val="24"/>
          <w:szCs w:val="24"/>
          <w:lang w:eastAsia="ar-SA"/>
        </w:rPr>
        <w:t>ая задолженность составила 18482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E05149" w:rsidRPr="00D25321">
        <w:rPr>
          <w:rFonts w:ascii="Times New Roman" w:hAnsi="Times New Roman" w:cs="Calibri"/>
          <w:sz w:val="24"/>
          <w:szCs w:val="24"/>
          <w:lang w:eastAsia="ar-SA"/>
        </w:rPr>
        <w:t>3</w:t>
      </w:r>
      <w:r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руб., в том числе </w:t>
      </w:r>
      <w:r w:rsidR="00287C53" w:rsidRPr="00D25321">
        <w:rPr>
          <w:rFonts w:ascii="Times New Roman" w:hAnsi="Times New Roman" w:cs="Calibri"/>
          <w:sz w:val="24"/>
          <w:szCs w:val="24"/>
          <w:lang w:eastAsia="ar-SA"/>
        </w:rPr>
        <w:t>наиболее крупные суммы задолженности</w:t>
      </w:r>
      <w:r w:rsidR="00A16F42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по страховым взносам и пенсионному страхованию в сумме 13204,5 тыс. руб., задолженность  </w:t>
      </w:r>
      <w:r w:rsidR="00287C53" w:rsidRPr="00D25321">
        <w:rPr>
          <w:rFonts w:ascii="Times New Roman" w:hAnsi="Times New Roman" w:cs="Calibri"/>
          <w:sz w:val="24"/>
          <w:szCs w:val="24"/>
          <w:lang w:eastAsia="ar-SA"/>
        </w:rPr>
        <w:t>по приобретению учебников образовательными организациями в сумме 2421,0</w:t>
      </w:r>
      <w:r w:rsidR="00A16F42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</w:t>
      </w:r>
      <w:r w:rsidR="00287C53" w:rsidRPr="00D25321">
        <w:rPr>
          <w:rFonts w:ascii="Times New Roman" w:hAnsi="Times New Roman" w:cs="Calibri"/>
          <w:sz w:val="24"/>
          <w:szCs w:val="24"/>
          <w:lang w:eastAsia="ar-SA"/>
        </w:rPr>
        <w:t xml:space="preserve">,  </w:t>
      </w:r>
      <w:r w:rsidR="00A16F42" w:rsidRPr="00D25321">
        <w:rPr>
          <w:rFonts w:ascii="Times New Roman" w:hAnsi="Times New Roman" w:cs="Calibri"/>
          <w:sz w:val="24"/>
          <w:szCs w:val="24"/>
          <w:lang w:eastAsia="ar-SA"/>
        </w:rPr>
        <w:t>задолженность по коммунальным услугам –</w:t>
      </w:r>
      <w:r w:rsidR="00287C53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1594</w:t>
      </w:r>
      <w:r w:rsidR="00A16F42" w:rsidRPr="00D25321">
        <w:rPr>
          <w:rFonts w:ascii="Times New Roman" w:hAnsi="Times New Roman" w:cs="Calibri"/>
          <w:sz w:val="24"/>
          <w:szCs w:val="24"/>
          <w:lang w:eastAsia="ar-SA"/>
        </w:rPr>
        <w:t>,</w:t>
      </w:r>
      <w:r w:rsidR="00287C53" w:rsidRPr="00D25321">
        <w:rPr>
          <w:rFonts w:ascii="Times New Roman" w:hAnsi="Times New Roman" w:cs="Calibri"/>
          <w:sz w:val="24"/>
          <w:szCs w:val="24"/>
          <w:lang w:eastAsia="ar-SA"/>
        </w:rPr>
        <w:t>6</w:t>
      </w:r>
      <w:r w:rsidR="00A16F42" w:rsidRPr="00D25321">
        <w:rPr>
          <w:rFonts w:ascii="Times New Roman" w:hAnsi="Times New Roman" w:cs="Calibri"/>
          <w:sz w:val="24"/>
          <w:szCs w:val="24"/>
          <w:lang w:eastAsia="ar-SA"/>
        </w:rPr>
        <w:t xml:space="preserve"> тыс. руб.   </w:t>
      </w:r>
    </w:p>
    <w:p w:rsidR="00531607" w:rsidRPr="00D25321" w:rsidRDefault="00531607" w:rsidP="0053160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321">
        <w:rPr>
          <w:rFonts w:ascii="Times New Roman" w:eastAsia="Calibri" w:hAnsi="Times New Roman" w:cs="Times New Roman"/>
          <w:b/>
          <w:sz w:val="24"/>
          <w:szCs w:val="24"/>
        </w:rPr>
        <w:t>Расходы. Общая часть.</w:t>
      </w:r>
    </w:p>
    <w:p w:rsidR="00531607" w:rsidRPr="00D25321" w:rsidRDefault="00531607" w:rsidP="005316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21">
        <w:rPr>
          <w:rFonts w:ascii="Times New Roman" w:eastAsia="Calibri" w:hAnsi="Times New Roman" w:cs="Times New Roman"/>
          <w:sz w:val="24"/>
          <w:szCs w:val="24"/>
        </w:rPr>
        <w:t xml:space="preserve">      Кассовые расходы бюджета городского округа исполнены на 94,6 % уточненного плана и составили 1511504,1 тыс. рублей, что меньше  расходов 2016 года на 33193,00 тыс. руб. К первоначальному плану фактическое исполнение увеличилось на 328257,7</w:t>
      </w:r>
      <w:r w:rsidRPr="00D253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25321">
        <w:rPr>
          <w:rFonts w:ascii="Times New Roman" w:eastAsia="Calibri" w:hAnsi="Times New Roman" w:cs="Times New Roman"/>
          <w:sz w:val="24"/>
          <w:szCs w:val="24"/>
        </w:rPr>
        <w:t>тыс. руб. Общая характеристика расходов по разделам приведена в таблице:</w:t>
      </w:r>
    </w:p>
    <w:p w:rsidR="00531607" w:rsidRPr="00D25321" w:rsidRDefault="00531607" w:rsidP="005316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21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358"/>
        <w:gridCol w:w="1596"/>
        <w:gridCol w:w="1778"/>
        <w:gridCol w:w="1226"/>
        <w:gridCol w:w="1594"/>
      </w:tblGrid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Наименование раздела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Решение от 29.12.2016 № 1122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 xml:space="preserve">План в соответствии с отчетом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Факт 2017 года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Доля в общей структуре расходов</w:t>
            </w:r>
          </w:p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2017, %</w:t>
            </w:r>
          </w:p>
        </w:tc>
      </w:tr>
      <w:tr w:rsidR="00531607" w:rsidRPr="00D25321" w:rsidTr="00531607">
        <w:trPr>
          <w:trHeight w:val="22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25321">
              <w:rPr>
                <w:rFonts w:ascii="Times New Roman" w:eastAsia="Calibri" w:hAnsi="Times New Roman" w:cs="Times New Roman"/>
                <w:b/>
              </w:rPr>
              <w:t>Расходы бюджета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5321">
              <w:rPr>
                <w:rFonts w:ascii="Times New Roman" w:eastAsia="Calibri" w:hAnsi="Times New Roman" w:cs="Times New Roman"/>
                <w:b/>
              </w:rPr>
              <w:t>1183246,4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5321">
              <w:rPr>
                <w:rFonts w:ascii="Times New Roman" w:eastAsia="Calibri" w:hAnsi="Times New Roman" w:cs="Times New Roman"/>
                <w:b/>
              </w:rPr>
              <w:t>1597607,6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5321">
              <w:rPr>
                <w:rFonts w:ascii="Times New Roman" w:eastAsia="Calibri" w:hAnsi="Times New Roman" w:cs="Times New Roman"/>
                <w:b/>
              </w:rPr>
              <w:t>1511504,1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5321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0100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Общегосударственные расходы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165077,3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183107,9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175610,3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11,62</w:t>
            </w:r>
          </w:p>
        </w:tc>
      </w:tr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0300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12624,6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12235,7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11536,1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0,76</w:t>
            </w:r>
          </w:p>
        </w:tc>
      </w:tr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0400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36983,9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79919,6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78369,8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5,18</w:t>
            </w:r>
          </w:p>
        </w:tc>
      </w:tr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0500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57097,5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145111,8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134625,8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8,91</w:t>
            </w:r>
          </w:p>
        </w:tc>
      </w:tr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0700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 xml:space="preserve"> 724777,1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938921,5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881026,0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58,29</w:t>
            </w:r>
          </w:p>
        </w:tc>
      </w:tr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0800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102577,0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102577,9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98331,5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6,51</w:t>
            </w:r>
          </w:p>
        </w:tc>
      </w:tr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0900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 xml:space="preserve">Здравоохранение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565,0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564,4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58723,0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109550,3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106653,1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7,06</w:t>
            </w:r>
          </w:p>
        </w:tc>
      </w:tr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17128,3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17280,9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16456,5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1,09</w:t>
            </w:r>
          </w:p>
        </w:tc>
      </w:tr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Средства массовой информации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3249,3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3245,9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0,21</w:t>
            </w:r>
          </w:p>
        </w:tc>
      </w:tr>
      <w:tr w:rsidR="00531607" w:rsidRPr="00D25321" w:rsidTr="00531607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lastRenderedPageBreak/>
              <w:t>1300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D25321" w:rsidRDefault="00531607" w:rsidP="00531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5057,7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5087,7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5084,7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7" w:rsidRPr="00D25321" w:rsidRDefault="00531607" w:rsidP="00531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5321">
              <w:rPr>
                <w:rFonts w:ascii="Times New Roman" w:eastAsia="Calibri" w:hAnsi="Times New Roman" w:cs="Times New Roman"/>
              </w:rPr>
              <w:t>0,34</w:t>
            </w:r>
          </w:p>
        </w:tc>
      </w:tr>
    </w:tbl>
    <w:p w:rsidR="00531607" w:rsidRPr="00D25321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8FB770" wp14:editId="667D0865">
            <wp:extent cx="6153150" cy="5124450"/>
            <wp:effectExtent l="0" t="0" r="19050" b="1905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1607" w:rsidRPr="00D25321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21">
        <w:rPr>
          <w:rFonts w:ascii="Times New Roman" w:eastAsia="Calibri" w:hAnsi="Times New Roman" w:cs="Times New Roman"/>
          <w:sz w:val="24"/>
          <w:szCs w:val="24"/>
        </w:rPr>
        <w:t xml:space="preserve">           Фактическое исполнение бюджета к первоначально утверждённому плану составило 127,74 %.</w:t>
      </w:r>
    </w:p>
    <w:p w:rsidR="00531607" w:rsidRPr="00D25321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21">
        <w:rPr>
          <w:rFonts w:ascii="Times New Roman" w:eastAsia="Calibri" w:hAnsi="Times New Roman" w:cs="Times New Roman"/>
          <w:sz w:val="24"/>
          <w:szCs w:val="24"/>
        </w:rPr>
        <w:t xml:space="preserve">           Традиционно, наибольший удельный вес в общей структуре расходов занимают расходы на «Образование» - 58,29%</w:t>
      </w:r>
    </w:p>
    <w:p w:rsidR="00531607" w:rsidRPr="00D25321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2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D25321">
        <w:rPr>
          <w:rFonts w:ascii="Times New Roman" w:eastAsia="Calibri" w:hAnsi="Times New Roman" w:cs="Times New Roman"/>
          <w:sz w:val="24"/>
          <w:szCs w:val="24"/>
        </w:rPr>
        <w:t>На социальную сферу (образование, культура, здравоохранение, социальная политика, физкультура) направлено 72,99% (или 1089820,9</w:t>
      </w:r>
      <w:r w:rsidR="00D25321" w:rsidRPr="00D25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321">
        <w:rPr>
          <w:rFonts w:ascii="Times New Roman" w:eastAsia="Calibri" w:hAnsi="Times New Roman" w:cs="Times New Roman"/>
          <w:sz w:val="24"/>
          <w:szCs w:val="24"/>
        </w:rPr>
        <w:t>тыс. рублей) от общей суммы расходов.</w:t>
      </w:r>
      <w:proofErr w:type="gramEnd"/>
      <w:r w:rsidRPr="00D25321">
        <w:rPr>
          <w:rFonts w:ascii="Times New Roman" w:eastAsia="Calibri" w:hAnsi="Times New Roman" w:cs="Times New Roman"/>
          <w:sz w:val="24"/>
          <w:szCs w:val="24"/>
        </w:rPr>
        <w:t xml:space="preserve"> По сравнению  с предыдущим отчетным периодом, расходы на социальную сферу снизились на 83601,0 тыс. руб. </w:t>
      </w:r>
    </w:p>
    <w:p w:rsidR="00531607" w:rsidRPr="00531607" w:rsidRDefault="00531607" w:rsidP="0053160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532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D25321">
        <w:rPr>
          <w:rFonts w:ascii="Times New Roman" w:eastAsia="Calibri" w:hAnsi="Times New Roman" w:cs="Times New Roman"/>
          <w:sz w:val="24"/>
          <w:szCs w:val="24"/>
        </w:rPr>
        <w:t xml:space="preserve">Решением Михайловской городской Думы от № 1122 от 29.12.2016 «О бюджете городского округа город Михайловка на 2017 год и плановый период 2018 и 2019 годов» утвержден перечень главных распорядителей бюджетных средств, которые одновременно являлись и главными администраторами доходов бюджета: администрация городского округа город Михайловка, Михайловская городская Дума, контрольно-счетная комиссия городского округа город Михайловка, комитет </w:t>
      </w:r>
      <w:r w:rsidRPr="00531607">
        <w:rPr>
          <w:rFonts w:ascii="Times New Roman" w:eastAsia="Calibri" w:hAnsi="Times New Roman" w:cs="Times New Roman"/>
          <w:sz w:val="24"/>
          <w:szCs w:val="24"/>
        </w:rPr>
        <w:t>по финансам администрации городского округа город Михайловка.</w:t>
      </w:r>
      <w:proofErr w:type="gramEnd"/>
    </w:p>
    <w:p w:rsidR="00531607" w:rsidRPr="00531607" w:rsidRDefault="00531607" w:rsidP="005316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Из приведенных в таблице данных видно, что в 2017 году общий объем неисполненных расходов составил 86103,5 тыс. рублей, или на 11501,0 тыс. руб. больше, чем в 2016 году. При этом наибольший процент неисполнения сложился по разделам 0500 «Жилищно-коммунальное хозяйство» (92,8% или 10486,0тыс. руб.), и 0700 «Образование» (93,8% или 57895,5 тыс. руб.).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    Исполнение по разделам бюджетной классификации сложилось следующим образом.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sz w:val="24"/>
          <w:szCs w:val="24"/>
        </w:rPr>
        <w:t xml:space="preserve">           По разделу «Общегосударственные вопросы» </w:t>
      </w:r>
      <w:r w:rsidRPr="00531607">
        <w:rPr>
          <w:rFonts w:ascii="Times New Roman" w:eastAsia="Calibri" w:hAnsi="Times New Roman" w:cs="Times New Roman"/>
          <w:sz w:val="24"/>
          <w:szCs w:val="24"/>
        </w:rPr>
        <w:t>кассовые расходы выросли в  сравнении с 2016 годом на 4436,1  тыс. руб.  и исполнены на 97,1 % плановых назначений или в сумме 175610,3 тыс. рублей.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53160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Волгоградской обл. от 27.03.2017 N 142-п 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2017 год" установлен норматив в размере 89733,0 тыс. рублей.</w:t>
      </w:r>
      <w:proofErr w:type="gramEnd"/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Согласно отчету об исполнении бюджета за 2017 год, расходы на содержание органов местного самоуправления городского округа не превышают установленный норматив. Рекомендация устанавливать расходы на содержание представительного органа местного самоуправления и контрольно-счетного органа в совокупности в </w:t>
      </w:r>
      <w:proofErr w:type="gramStart"/>
      <w:r w:rsidRPr="00531607">
        <w:rPr>
          <w:rFonts w:ascii="Times New Roman" w:eastAsia="Calibri" w:hAnsi="Times New Roman" w:cs="Times New Roman"/>
          <w:sz w:val="24"/>
          <w:szCs w:val="24"/>
        </w:rPr>
        <w:t>объеме, не превышающем 7 процентов норматива на содержание органов местного самоуправления выполняется</w:t>
      </w:r>
      <w:proofErr w:type="gramEnd"/>
      <w:r w:rsidRPr="005316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607" w:rsidRPr="00531607" w:rsidRDefault="00531607" w:rsidP="0053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531607">
        <w:rPr>
          <w:rFonts w:ascii="Calibri" w:eastAsia="Calibri" w:hAnsi="Calibri" w:cs="Times New Roman"/>
          <w:noProof/>
          <w:color w:val="1F497D" w:themeColor="text2"/>
          <w:lang w:eastAsia="ru-RU"/>
        </w:rPr>
        <w:lastRenderedPageBreak/>
        <w:drawing>
          <wp:inline distT="0" distB="0" distL="0" distR="0" wp14:anchorId="693BFAEB" wp14:editId="3D1606F4">
            <wp:extent cx="5934075" cy="6838950"/>
            <wp:effectExtent l="0" t="0" r="9525" b="1905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>Исполнение по подразделам сложилось следующим образом: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531607" w:rsidRPr="00531607" w:rsidRDefault="00531607" w:rsidP="00531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По данному подразделу отражается содержание главы муниципального образования, расходы по подразделу составили 1202,3 тыс. руб. (97,1%). Расходы полностью сложились из расходов на заработную плату, начисления на оплату труда и прочих выплат. 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образований».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 xml:space="preserve">По данному подразделу отражается содержание Михайловской городской Думы, расходы по которой составили  1642,4 тыс. рублей (96,8%). 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</w:p>
    <w:p w:rsidR="00531607" w:rsidRPr="00531607" w:rsidRDefault="00531607" w:rsidP="00531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По данному подразделу расходы исполнены в сумме  57823,1 тыс. руб. (95,8 %). 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0106 «Обеспечение деятельности финансовых, налоговых и таможенных органов и органов финансового (финансового - бюджетного) надзора»</w:t>
      </w:r>
    </w:p>
    <w:p w:rsidR="00531607" w:rsidRPr="00531607" w:rsidRDefault="00531607" w:rsidP="005316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>По данному подразделу финансируются контрольно-счетная комиссия городского округа город Михайловка и комитет по финансам администрации  городского округа.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>На содержание контрольно-счетной комиссии расходы составили в сумме 1611,7 тыс. руб. (94,8%).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 xml:space="preserve">На содержание комитета по финансам администрации городского округа город Михайловка расходы составили в сумме 7493,3 тыс. руб. (94,6%). </w:t>
      </w:r>
    </w:p>
    <w:p w:rsidR="00531607" w:rsidRPr="00531607" w:rsidRDefault="00531607" w:rsidP="0053160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0107 «Обеспечение проведения выборов и референдумов»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    По данному подразделу израсходовано 3383,5 тыс. рублей на организацию и проведение выборов в органы местного самоуправления.</w:t>
      </w:r>
    </w:p>
    <w:p w:rsidR="00531607" w:rsidRPr="00531607" w:rsidRDefault="00531607" w:rsidP="0053160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0113 «Другие общегосударственные  вопросы»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>По подразделу сумма расходов, в сравнении с 2016 годом,  выросла на 3558,8тыс. рублей, и составила 102454,0 тыс. рублей. Из них:</w:t>
      </w: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реализации муниципальной программы по повышению качества предоставления услуг путем развития сети МФЦ ассигнования  исполнены  на 99,9 % и составили  19933,9 тыс. рублей;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муниципальной программы по развитию ТОС израсходовано 1979,9 тыс. рублей, или 100 % годового плана на организацию и проведение городских конкурсов «На лучшую работу председателей территориального общественного самоуправления»;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муниципальной программы по развитию муниципальной службы в городском округе израсходовано 14,9 тыс. рублей, или 85,6 % годового плана на оказание услуг по дополнительному профессиональному </w:t>
      </w:r>
      <w:proofErr w:type="gram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обучению по охране</w:t>
      </w:r>
      <w:proofErr w:type="gram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труда и по программе пожарно-технического минимума;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обеспечение выполнения функций отделами сельских территорий направлено 14602,1 тыс. рублей или 99,5 % предусмотренных ассигнований;</w:t>
      </w: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содержание учреждений по обеспечению хозяйственного обслуживания органов местного самоуправления (МКУ «Технический центр») расходы сложились в объеме 59671,5 тыс. рублей, или 94,3  % к годовому плану;</w:t>
      </w: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расходам на оценку недвижимости исполнение составило 134,7 тыс. рублей, или  69,8 % годового плана;</w:t>
      </w: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выплату денежного поощрения лучшим комиссиям по делам несовершеннолетних за счет средств областного бюджета в сумме 30,0 тыс. рублей, которое направлено на улучшение материально-технической базы;</w:t>
      </w:r>
      <w:proofErr w:type="gramEnd"/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на решение прочих функций, связанных с управлением, израсходовано 2714,0 тыс. рублей, что составляет 83,4 % годовых бюджетных назначений (на оплату по исполнительным листам по решениям судов, представительские расходы и содержание имущества казны).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Субвенции на государственную регистрацию актов гражданского состояния 2882,2 тыс. рублей.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sz w:val="24"/>
          <w:szCs w:val="24"/>
        </w:rPr>
        <w:t>По разделу 0300 «Национальная безопасность и правоохранительная деятельность»</w:t>
      </w:r>
    </w:p>
    <w:p w:rsidR="00531607" w:rsidRPr="00531607" w:rsidRDefault="00531607" w:rsidP="00531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>Фактическое исполнение составило 11536,1   тыс. руб. (94,3%) В сравнении с 2016 годом, сумма выросла  на 14,4%%.</w:t>
      </w:r>
    </w:p>
    <w:p w:rsidR="00531607" w:rsidRPr="00531607" w:rsidRDefault="00531607" w:rsidP="00531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1607">
        <w:rPr>
          <w:rFonts w:ascii="Calibri" w:eastAsia="Calibri" w:hAnsi="Calibri" w:cs="Times New Roman"/>
          <w:noProof/>
          <w:color w:val="FF0000"/>
          <w:lang w:eastAsia="ru-RU"/>
        </w:rPr>
        <w:drawing>
          <wp:inline distT="0" distB="0" distL="0" distR="0" wp14:anchorId="1115829B" wp14:editId="01401E1F">
            <wp:extent cx="5495925" cy="3209925"/>
            <wp:effectExtent l="0" t="0" r="9525" b="9525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1607" w:rsidRPr="00531607" w:rsidRDefault="00531607" w:rsidP="00531607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1607" w:rsidRPr="00531607" w:rsidRDefault="00531607" w:rsidP="0053160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>По данному разделу финансируются следующие подразделы: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0309 «Защита населения и территории от чрезвычайных ситуаций природного и техногенного характера, гражданская оборона»</w:t>
      </w:r>
    </w:p>
    <w:p w:rsidR="00531607" w:rsidRPr="00531607" w:rsidRDefault="00531607" w:rsidP="00531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По подразделу расходы исполнены в сумме 4153,5 тыс. руб. (88,9%) в сравнении с 2016 годом сумма расходов увеличилась на 1220,3 тыс. рублей или 41,6%. 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мероприятия в рамках муниципальной программы </w:t>
      </w:r>
      <w:r w:rsidRPr="00531607">
        <w:rPr>
          <w:rFonts w:ascii="Times New Roman" w:eastAsia="Calibri" w:hAnsi="Times New Roman" w:cs="Times New Roman"/>
          <w:sz w:val="24"/>
          <w:szCs w:val="24"/>
        </w:rPr>
        <w:t>Обеспечение безопасности жизнедеятельности населения городского округа город Михайловка на 2017- 2019 годы»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направлено: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предупреждение  и ликвидацию последствий чрезвычайных ситуаций и стихийных бедствий – 3306,3 тыс. рублей, средства направлены на обустройство минерализованных полос, приобретение и установку источников противопожарного водоснабжения, приобретение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квадрокоптера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содержание и обслуживание подвижного пункта управления автомобильной техники (86,8% утвержденного плана);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гражданскую оборону – 584,3 тыс. рублей, в рамках данного мероприятия приобретены системы оповещения, проведено техническое обслуживание, ремонт и монтаж систем оповещения в населенных пунктах городского округа (97,6 % утвержденного плана).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возмещение затрат организациям, связанных с ликвидацией чрезвычайной ситуации, направлена  сумма 262,9 тыс. рублей за счет средств резервного фонда администрации городского округа, в том числе на оплату кредиторской задолженности в сумме 25,1 тыс. рублей по возмещению расходов ПК «Энергии» в связи с ликвидацией ЧС 2016 года.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0314 «Другие вопросы в области национальной безопасности и правоохранительной деятельности»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 xml:space="preserve"> По подразделу расходы исполнены в сумме 7382,6  тыс. руб.: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1607">
        <w:rPr>
          <w:rFonts w:ascii="Times New Roman" w:eastAsia="Calibri" w:hAnsi="Times New Roman" w:cs="Times New Roman"/>
          <w:sz w:val="24"/>
          <w:szCs w:val="24"/>
        </w:rPr>
        <w:t>Расходы в рамках муниципальной  программы «Обеспечение безопасности жизнедеятельности населения городского округа город Михайловка на 2017-2019 годы» составили 1117,1 тыс. руб.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 направлены на приобретение ранцевых огнетушителей, бензиновых помп, пожарных щитов и пожарного инвентаря, техническое обслуживание систем видеонаблюдения, приобретение оборудования и монтаж систем видеонаблюдения по ул. Республиканская и на территории, прилегающей к МКУ «Спортивная школа № 1» (96,9% утвержденного плана).</w:t>
      </w:r>
      <w:proofErr w:type="gramEnd"/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обеспечения функционирования МКУ «Единая дежурная диспетчерская служба» профинансировано 5536,1 тыс. рублей, или 97,4 % годовых бюджетных назначений. 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обеспечение деятельности добровольной народной дружины израсходовано 729,4 тыс. рублей, или 100,0 % годовых бюджетных назначений.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sz w:val="24"/>
          <w:szCs w:val="24"/>
        </w:rPr>
        <w:t>По разделу 0400 «Национальная экономика»</w:t>
      </w: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исполнение плановых назначений составило 78369,8 тыс. рублей. В сравнении с 2016 годом, сумма выросла на 1896,5 тыс. рублей.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   По данному подразделу финансируются следующие подразделы:</w:t>
      </w: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0405 «Сельское хозяйство»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       По подразделу расходы исполнены в сумме 219,9 тыс. руб. (264,0 тыс. рублей в 2016 году) (100%):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выплату премий ко Дню передовика агропромышленного комплекса направлено  136,0 тыс. рублей.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исполнение передаваемых государственных полномочий по отлову и уничтожению безнадзорных животных израсходованы средства субвенции из областного бюджета в сумме 83,9 тыс. рублей.</w:t>
      </w:r>
    </w:p>
    <w:p w:rsidR="00531607" w:rsidRPr="00531607" w:rsidRDefault="00531607" w:rsidP="00531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0409 «Дорожное хозяйство (дорожные фонды)»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       По подразделу расходы исполнены в сумме 59649,9  тыс. рублей (97,6%). В сравнении с 2016 годом, произошло снижение расходов на 16016,8 тыс. рублей.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на дорожное хозяйство исполнены в рамках муниципальной программы «Развитие транспортной инфраструктуры городского округа город Михайловка Волгоградской области на 2017-2016 годы» в сумме 78,5 тыс. рублей на установку остановочного павильона по ул. Крупской, а также  в рамках муниципальной программы «Повышение  безопасности дорожного движения на территории городского округа  город Михайловка Волгоградской области на 2017-2019 годы» за    2017 г составили 59571,4 тыс</w:t>
      </w:r>
      <w:proofErr w:type="gram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рублей, или 97,6 %  утвержденных бюджетных назначений, в том числе: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строительство, капитальный ремонт и содержание автомобильных дорог 15527,0 тыс. рублей, в том числе субсидия на выполнение муниципального задания МБУ «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КБиО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13939,7 тыс. рублей. 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 счет средств дорожного фонда в сумме 44044,4 тыс. рублей, источником формирования которого явились поступления акцизов, остаток средств дорожного фонда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 2016 года и средства областного бюджета. Расходы за счет средств дорожного фонда  направлены </w:t>
      </w:r>
      <w:proofErr w:type="gram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сети автомобильных дорог общего пользования 29545,8 тыс. рублей, в том числе: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установка дорожных знаков 261,0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нанесение дорожной разметки 620, тыс. рублей;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содержание автомобильных дорог в сельских территориях 1181,0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светофорного объекта на пересечении ул. Обороны и ул. Энгельса;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предоставление субсидии на выполнение муниципального задания МБУ «Комбинат благоустройства и озеленения» в сумме 24874,3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целевой субсидии МБУ «Комбинат благоустройства и озеленения» на обслуживание светофорных объектов в сумме 1163,5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сети автомобильных дорог общего пользования в сумме 14498,6 тыс. рублей: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ремонт тротуаров и пешеходных дорожек, в т. ч. по ул. Ленина от пер. Парижский до ул. Коммуны в сумме 2091,6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и фрезерование асфальтобетонного покрытия участка автодороги по ул. Гоголя за счет средств областного бюджета в сумме 10300,0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и фрезерование асфальтобетонного покрытия участка автодороги по ул. Гоголя 2107,0 тыс. рублей.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531607" w:rsidRPr="00531607" w:rsidRDefault="00531607" w:rsidP="00531607">
      <w:pPr>
        <w:spacing w:after="0"/>
        <w:ind w:firstLine="708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5316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0412 «Другие вопросы в области национальной экономики»</w:t>
      </w:r>
    </w:p>
    <w:p w:rsidR="00531607" w:rsidRPr="00531607" w:rsidRDefault="00531607" w:rsidP="00531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По подразделу расходы исполнены в сумме 18500,0 тыс. рублей.  Денежные средства направлены на исполнение мероприятий программы «Развитие и поддержка малого и среднего предпринимательства городского округа город Михайловка»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направлено 18500,0 тыс. рублей, что составляет 99,9 % утвержденного плана, в том числе за счет средств федерального бюджета 14400,0 тыс. рублей, за счет средств областного бюджета 3600,0 тыс. рублей.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sz w:val="24"/>
          <w:szCs w:val="24"/>
        </w:rPr>
        <w:t>По разделу 0500 «Жилищно-коммунальное хозяйство</w:t>
      </w:r>
      <w:r w:rsidRPr="00531607">
        <w:rPr>
          <w:rFonts w:ascii="Times New Roman" w:eastAsia="Calibri" w:hAnsi="Times New Roman" w:cs="Times New Roman"/>
          <w:sz w:val="24"/>
          <w:szCs w:val="24"/>
        </w:rPr>
        <w:t>»  кассовые расходы составили 134625,8 тыс. рублей. Расходы выросли в сравнении с 2016 годом на 25468,4  тыс. руб. В целом по разделу, процент выполнения плана по расходам составил 92,77 %.  Доля в общей структуре расходов составила 8,91%.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3D04C61" wp14:editId="390ED2CC">
            <wp:extent cx="5715000" cy="4095750"/>
            <wp:effectExtent l="0" t="0" r="19050" b="1905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   По разделу финансируются следующие подразделы:</w:t>
      </w: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0501 «Жилищное хозяйство» 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>По подразделу расходы исполнены в сумме 1525,4 тыс. руб., в том числе:</w:t>
      </w: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муниципальной программы «Проведение капитального ремонта муниципального жилого фонда на территории городского округа город Михайловка Волгоградской области» на обеспечение мероприятий по капитальному ремонту многоквартирных домов – 412,5 тыс. рублей; </w:t>
      </w: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уплату взносов на капитальный ремонт жилищного фонда – 485,7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муниципальной программы «Энергосбережение и повышение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город Михайловка на период до 2020 года» - 627,2 тыс. рублей</w:t>
      </w:r>
    </w:p>
    <w:p w:rsidR="00531607" w:rsidRPr="00531607" w:rsidRDefault="00531607" w:rsidP="00531607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0502 «Коммунальное хозяйство»</w:t>
      </w: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 xml:space="preserve">  По подразделу расходы исполнены в сумме 42198,0 тыс. рублей, в том числе: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финансирование муниципальной программы 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"Развитие и модернизация объектов коммунальной инфраструктуры городского округа город Михайловка на 2017-2019 годы"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направлено 27492,4 тыс. рублей, из них: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профинансировано на увеличение уставного фонда МУП «Михайловское водопроводно-канализационное хозяйство» в сумме 9144,0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-выделена субсидия на осуществление капитальных вложений МУП «Михайловское водопроводно-канализационное хозяйство» с целью реконструкции водозаборной скважины с заменой водоподъемного оборудования в х.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Сеничкин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1339,9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-на оплату кредиторской задолженности по строительству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внутрипоселковых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газопроводов в х.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Поддубный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, х. Субботин, х. Глинище в сумме 15546,0 тыс. рублей, за счет средств областного бюджета;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оплачены выполненные  работы по объектам: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внутрипоселковый</w:t>
      </w:r>
      <w:proofErr w:type="spellEnd"/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газопровод в х. Поддубный-25,9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строительство магистрального водовода от фильтровальной станции до ул. Столбовая-149,8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водопровод в </w:t>
      </w:r>
      <w:proofErr w:type="spellStart"/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р.п</w:t>
      </w:r>
      <w:proofErr w:type="spellEnd"/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Себрово</w:t>
      </w:r>
      <w:proofErr w:type="spellEnd"/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-99,0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строительство котельной для отопления СДК в х</w:t>
      </w:r>
      <w:proofErr w:type="gramStart"/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.П</w:t>
      </w:r>
      <w:proofErr w:type="gramEnd"/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лотников-2 – 224,3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реконструкция водопроводной сети протяженностью 118585,7 м по ул. Дзержинского от ул. Урицкого до ул. Пархоменко – 294,5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реконструкция водопроводной сети  ул. Шиферная  ул. Коммунистическая  – 669,0 тыс. рублей.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Расходы на  оплату за техническое обслуживание газораспределительных сетей сельских территорий в сумме 42,3 тыс. рублей, на оплату лизинговых платежей за коммунальную технику в сумме 1954,0 тыс. рублей.</w:t>
      </w:r>
      <w:r w:rsidRPr="00531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Расходы на исполнение государственных полномочий по компенсации выпадающих доходов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ресурсоснабжающих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организаций, связанных с применением ими социальных тарифов на коммунальные услуги, поставляемые населению, за счет средств субвенции из областного бюджета составили 12441,4 тыс. рублей.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муниципальной программы «Энергосбережение и повышение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город Михайловка на период до 2020 года» - 267,9 тыс. рублей.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0503 «Благоустройство»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>Расходы по подразделу исполнены в сумме 80999,3 тыс. руб. в том числе: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уличное освещение – 16242,5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озеленение – 60,7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мест захоронений – 260,3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прочие расходы благоустройства – 1389,3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бюджетные назначения на обеспечение деятельности подведомственного учреждения МБУ «Комбинат благоустройства и озеленения» исполнены на 99,2 % и составили 27879,1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финансирование муниципальной программы «Формирование современной городской среды городского округа на 2017 год» составило 35167,4 тыс. рублей, или 93,9 % годовых бюджетных назначений, в том числе за счет средств федерального бюджета 27971,2 тыс. рублей, за счет средств областного бюджета 3735,0 тыс. рублей. Средства направлены </w:t>
      </w:r>
      <w:proofErr w:type="gram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5 дворовых территорий (ул. Речная 44г; ул. Коммуны 107а, 109а; ул. Речная 44, 44в; ул. 2-я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Краснознаменская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10,12,14,16а и ул. Коммуны 109) – 19 954,2 тыс. рублей, в том числе за счет средств федерального бюджета 18647,4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2 территорий общего пользования (территория МБУК «Выставочный зал», территория МКОУ «ДЮСШ № 1») – 11477,7 тыс. рублей, в том числе за счет средств федерального бюджета 9323,7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территорий общего пользования в 2-х сельских населенных пунктах (с. Сидоры, х. Сухов-2) – 3735,6 тыс. рублей, в том числе за счет средств областного бюджета 3735,0 тыс. рублей.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0505 « Другие вопросы в области жилищно-коммунального хозяйства»</w:t>
      </w:r>
    </w:p>
    <w:p w:rsidR="00531607" w:rsidRPr="00531607" w:rsidRDefault="00531607" w:rsidP="00531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      По подразделу расходы исполнены в сумме 9903,1 тыс. рублей.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Расходы на содержание МКУ ОКС составили 7584,3 тыс. рублей, или 97,6 % годовых бюджетных назначений.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по содействию занятости </w:t>
      </w:r>
      <w:proofErr w:type="gram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proofErr w:type="gram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предусмотренные ассигнования выполнены на 99,5 % и расходы на организацию общественных работ составили  2318,8 тыс. рублей, дополнительно создано 391 рабочее место.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 xml:space="preserve">    </w:t>
      </w:r>
      <w:r w:rsidRPr="00531607">
        <w:rPr>
          <w:rFonts w:ascii="Times New Roman" w:eastAsia="Calibri" w:hAnsi="Times New Roman" w:cs="Times New Roman"/>
          <w:b/>
          <w:sz w:val="24"/>
          <w:szCs w:val="24"/>
        </w:rPr>
        <w:t xml:space="preserve">По разделу 0700 «Образование» </w:t>
      </w: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расходы исполнены в сумме 881026,0 тыс. рублей. Доля в общей структуре расходов составила 58,29%. 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531607">
        <w:rPr>
          <w:rFonts w:ascii="Calibri" w:eastAsia="Calibri" w:hAnsi="Calibri" w:cs="Times New Roman"/>
          <w:noProof/>
          <w:color w:val="C0504D" w:themeColor="accent2"/>
          <w:lang w:eastAsia="ru-RU"/>
        </w:rPr>
        <w:drawing>
          <wp:inline distT="0" distB="0" distL="0" distR="0" wp14:anchorId="08B9ABE0" wp14:editId="56035E61">
            <wp:extent cx="5495925" cy="3209925"/>
            <wp:effectExtent l="0" t="0" r="9525" b="9525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>По данному разделу финансируются следующие подразделы:</w:t>
      </w: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0701 «Дошкольное образование»</w:t>
      </w: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>По подразделу расходы исполнены в сумме 238520,8 тыс. руб. (94%), в том числе:</w:t>
      </w: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мероприятий муниципальной программы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«Пожарная безопасность в общеобразовательных  учреждениях на 2017-2019 годы»</w:t>
      </w:r>
      <w:r w:rsidRPr="005316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направлено 690,0 тыс. рублей;</w:t>
      </w:r>
    </w:p>
    <w:p w:rsidR="00531607" w:rsidRPr="00531607" w:rsidRDefault="00531607" w:rsidP="00531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на реализацию муниципальной программы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«Медицинское обеспечение в общеобразовательных учреждениях на 2017-2019 годы»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583,1 тыс. рублей;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муниципальной программы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«Совершенствование материально-технической базы образовательных учреждений на 2017-2019 годы»  израсходовано 698,2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муниципальной программы «Формирование доступной среды жизнедеятельности для инвалидов и маломобильных групп населения в городском округе город Михайловка на 2017-2019 годы» израсходовано 2092,0 тыс. рублей; </w:t>
      </w: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ведомственной целевой программы  «Организация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годы» направлено 234457,5 тыс. рублей.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504D" w:themeColor="accent2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0702 «Общее образование»</w:t>
      </w: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504D" w:themeColor="accent2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ab/>
      </w:r>
      <w:r w:rsidRPr="00531607">
        <w:rPr>
          <w:rFonts w:ascii="Times New Roman" w:eastAsia="Calibri" w:hAnsi="Times New Roman" w:cs="Times New Roman"/>
          <w:sz w:val="24"/>
          <w:szCs w:val="24"/>
        </w:rPr>
        <w:t>По подразделу расходы исполнены в сумме 503989,7 тыс. руб., в том числе:</w:t>
      </w: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мероприятий муниципальной программы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«Пожарная безопасность в образовательных  учреждениях на 2017-2019 годы» израсходовано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2213,2 тыс. рублей;</w:t>
      </w:r>
    </w:p>
    <w:p w:rsidR="00531607" w:rsidRPr="00531607" w:rsidRDefault="00531607" w:rsidP="00531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на реализацию муниципальной программы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«Медицинское обеспечение в образовательных учреждениях на 2017-2019 годы»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1165,3 тыс. рублей;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 на реализацию муниципальной программы «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Одаренные дети» на 2017-2019 годы»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197,7 тыс. рублей;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муниципальной программы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«Совершенствование материально-технической базы образовательных учреждений на 2017-2019 годы»  израсходовано</w:t>
      </w:r>
      <w:r w:rsidRPr="005316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7673,1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 </w:t>
      </w:r>
    </w:p>
    <w:p w:rsidR="00531607" w:rsidRPr="00531607" w:rsidRDefault="00531607" w:rsidP="005316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муниципальной программы «Организация питания, отдыха и </w:t>
      </w:r>
      <w:proofErr w:type="gram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оздоровления</w:t>
      </w:r>
      <w:proofErr w:type="gram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в муниципальных образовательных учреждениях городского округа город Михайловка на 2017-2019 годы» на  организацию  питания учащихся  1 - 4 классов, детей из малообеспеченных семей и детей, находящихся на учете у фтизиатра, направлено 20749,5 тыс. рублей, из них  на выполнение государственных полномочий за счет средств субвенции из областного бюджета – 12377,8 тыс. рублей;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ведомственной целевой программы «Обеспечение доступности и качества образования для населения городского округа город Михайловка на 2016-2018 годы» направлено  471990,9 тыс. рублей.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0703 «Дополнительное образование детей»</w:t>
      </w:r>
    </w:p>
    <w:p w:rsidR="00531607" w:rsidRPr="00531607" w:rsidRDefault="00531607" w:rsidP="0053160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По подразделу расходы исполнены в сумме  84980,6 тыс. рублей, в т. ч.: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ar-SA"/>
        </w:rPr>
        <w:t xml:space="preserve">          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реализацию муниципальной программы «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Одаренные дети» на 2017-2019 годы»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7,4 тыс. рублей;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муниципальной программы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«Совершенствование материально-технической базы образовательных учреждений на 2017-2019 годы»  израсходовано</w:t>
      </w:r>
      <w:r w:rsidRPr="005316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1960,4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 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на реализацию муниципальной программы «Поддержка и развитие детского творчества в учреждениях дополнительного образования детей в сфере культуры городского округа город Михайловка на 2017-2019 годы» направлено 227,0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на реализацию мероприятий муниципальной программы «Развитие массовой физической культуры и спорта на территории городского округа город Михайловка на 2017-2019 годы» направлено 657,1 тыс. руб.;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муниципальной программы «Формирование доступной среды жизнедеятельности для инвалидов и маломобильных групп населения в городском округе город Михайловка на 2017-2019 годы» израсходовано 299,8 тыс. рублей;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ведомственной целевой программы «Обеспечение доступности и качества образования для населения городского округа город Михайловка на 2016-2018 годы» направлено  81689,3 тыс. рублей;</w:t>
      </w:r>
    </w:p>
    <w:p w:rsidR="00531607" w:rsidRPr="00531607" w:rsidRDefault="00531607" w:rsidP="00531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муниципальной программы «Повышение безопасности и  антитеррористической защищенности в образовательных учреждениях на 2017-2019 годы» направлено 139,6 тыс. рублей.</w:t>
      </w:r>
    </w:p>
    <w:p w:rsidR="00531607" w:rsidRPr="00531607" w:rsidRDefault="00531607" w:rsidP="00531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0707 «Молодежная политика и оздоровление детей»</w:t>
      </w: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 xml:space="preserve">Расходы по подразделу исполнены в сумме 28367,82 тыс. руб., из них: 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- на реализацию муниципальной программы «Содействие занятости населения в городском округе город Михайловка на 2017-2019 годы» израсходовано 136,1 тыс. руб.;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- на реализацию муниципальной программы «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Михайловка, на 2017-2019 годы»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205,1 тыс. рублей; </w:t>
      </w:r>
    </w:p>
    <w:p w:rsidR="00531607" w:rsidRPr="00531607" w:rsidRDefault="00531607" w:rsidP="0053160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«Организация питания, отдыха и </w:t>
      </w:r>
      <w:proofErr w:type="gram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оздоровления</w:t>
      </w:r>
      <w:proofErr w:type="gram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в муниципальных образовательных учреждениях городского округа город Михайловка на 2017-2019 годы» расходы  составили 11076,1 тыс. рублей, </w:t>
      </w:r>
    </w:p>
    <w:p w:rsidR="00531607" w:rsidRPr="00531607" w:rsidRDefault="00531607" w:rsidP="0053160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мероприятий ведомственной целевой программы «Молодежь Михайловки» на 2016-2018 годы израсходовано 16187,0 тыс. рублей;</w:t>
      </w:r>
    </w:p>
    <w:p w:rsidR="00531607" w:rsidRPr="00531607" w:rsidRDefault="00531607" w:rsidP="00531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муниципальной программы «Повышение безопасности и  антитеррористической защищенности в образовательных учреждениях на 2017-2019 годы» направлено 113,5 тыс. рублей.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на проведение молодежного форума и мероприятия «Школа общественной активности» израсходовано 650,0 тыс. рублей.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0709 «Другие вопросы в области образования»</w:t>
      </w: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ab/>
        <w:t>Расходы по подразделу исполнены в сумме 25167,1   тыс. руб., в том числе: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ar-SA"/>
        </w:rPr>
        <w:t xml:space="preserve">          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реализацию муниципальной программы «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Одаренные дети» на 2017-2019 годы»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93,7 тыс. рублей.</w:t>
      </w:r>
    </w:p>
    <w:p w:rsidR="00531607" w:rsidRPr="00531607" w:rsidRDefault="00531607" w:rsidP="00531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централизованной бухгалтерии и методкабинета за отчетный финансовый год составило 25073,4 тыс. рублей, или 99,2 % годового плана.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 xml:space="preserve">   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sz w:val="24"/>
          <w:szCs w:val="24"/>
        </w:rPr>
        <w:t xml:space="preserve">           По разделу 0800 «Культура, кинематография»</w:t>
      </w: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расходы исполнены на 95,9% от  утвержденных плановых назначений, или в сумме 98331,5 тыс. руб.  Доля в общей структуре расходов составила 6,51%. 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0801 «Культура»</w:t>
      </w: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     </w:t>
      </w:r>
      <w:r w:rsidRPr="00531607">
        <w:rPr>
          <w:rFonts w:ascii="Times New Roman" w:eastAsia="Calibri" w:hAnsi="Times New Roman" w:cs="Times New Roman"/>
          <w:sz w:val="24"/>
          <w:szCs w:val="24"/>
        </w:rPr>
        <w:t>Расходы по подразделу исполнены в сумме  98331,5 тыс. руб., из них: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«Комплекс мер по  укреплению пожарной безопасности учреждений культуры и дополнительного образования детей в сфере культуры городского округа город Михайловка»  на 2017-2019 годы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бюджете городского округа на  исполнение программных мероприятий направлено 102,7 тыс. рублей; </w:t>
      </w:r>
    </w:p>
    <w:p w:rsidR="00531607" w:rsidRPr="00531607" w:rsidRDefault="00531607" w:rsidP="005316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на реализацию муниципальной программы «Формирование доступной среды жизнедеятельности для инвалидов и маломобильных групп населения в городском округе город Михайловка на 2017-2019 годы» направлено 1335,6 тыс. рублей. Денежные средства израсходованы   на обустройство зданий и помещений для доступа инвалидов в МБУ «ГДК» и МКУ «МЦК»;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>- расходы в рамках ВЦП «Сохранение и развитие культуры городского округа город Михайловка на 2016-2018 годы»  - 95464,6 тыс. руб.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31607" w:rsidRPr="00531607" w:rsidRDefault="00531607" w:rsidP="005316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«Укрепление и развитие материально-технической базы учреждений культуры городского округа город Михайловка на 2015-2017 годы» - 1156,0 тыс. рублей. Денежные средства были израсходованы </w:t>
      </w:r>
      <w:proofErr w:type="gram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31607" w:rsidRPr="00531607" w:rsidRDefault="00531607" w:rsidP="005316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-капитальный ремонт потолка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Рогожинского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СК;</w:t>
      </w:r>
    </w:p>
    <w:p w:rsidR="00531607" w:rsidRPr="00531607" w:rsidRDefault="00531607" w:rsidP="005316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-ремонт системы теплоснабжения, помещения под газовую котельную, цоколя здания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Моховского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СК;</w:t>
      </w:r>
    </w:p>
    <w:p w:rsidR="00531607" w:rsidRPr="00531607" w:rsidRDefault="00531607" w:rsidP="005316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-ремонт кровли перехода Троицкого СДК;</w:t>
      </w:r>
    </w:p>
    <w:p w:rsidR="00531607" w:rsidRPr="00531607" w:rsidRDefault="00531607" w:rsidP="005316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-ремонт кровли здания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Карагичевского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СДК;</w:t>
      </w:r>
    </w:p>
    <w:p w:rsidR="00531607" w:rsidRPr="00531607" w:rsidRDefault="00531607" w:rsidP="005316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-звуковое оборудование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Субботинского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 и Раковского СДК.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реализацию общегородских культурных мероприятий направлено 272,6 тыс. рублей тыс. рублей, средства направлены  на приобретение подарков, сувенирной  продукции, на организацию и проведение праздничных фейерверков.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sz w:val="24"/>
          <w:szCs w:val="24"/>
        </w:rPr>
        <w:t xml:space="preserve">     По разделу 0900 «Здравоохранение»</w:t>
      </w: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расходы исполнены на 99,9% от плановых назначений, или в сумме 564,4 тыс. рублей.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0902 «Амбулаторная помощь»</w:t>
      </w:r>
    </w:p>
    <w:p w:rsidR="00531607" w:rsidRPr="00531607" w:rsidRDefault="00531607" w:rsidP="00531607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Расходы по подразделу  исполнены в сумме 564,4 тыс. рублей.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направлены на проектно-изыскательские работы по объекту «Строительство ФАП в х. </w:t>
      </w:r>
      <w:proofErr w:type="spellStart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Моховский</w:t>
      </w:r>
      <w:proofErr w:type="spellEnd"/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 xml:space="preserve">     </w:t>
      </w:r>
      <w:r w:rsidRPr="00531607">
        <w:rPr>
          <w:rFonts w:ascii="Times New Roman" w:eastAsia="Calibri" w:hAnsi="Times New Roman" w:cs="Times New Roman"/>
          <w:b/>
          <w:sz w:val="24"/>
          <w:szCs w:val="24"/>
        </w:rPr>
        <w:t>По разделу 1000 «Социальная политика»</w:t>
      </w: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расходы исполнены на 97,4% от плановых назначений, или в сумме 106653,1 тыс. руб. Доля в общей структуре расходов составила 7,06%. </w:t>
      </w: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color w:val="C0504D" w:themeColor="accent2"/>
          <w:sz w:val="24"/>
          <w:szCs w:val="24"/>
        </w:rPr>
      </w:pPr>
      <w:r w:rsidRPr="00531607">
        <w:rPr>
          <w:rFonts w:ascii="Calibri" w:eastAsia="Calibri" w:hAnsi="Calibri" w:cs="Times New Roman"/>
          <w:b/>
          <w:i/>
          <w:noProof/>
          <w:color w:val="C0504D" w:themeColor="accent2"/>
          <w:lang w:eastAsia="ru-RU"/>
        </w:rPr>
        <w:drawing>
          <wp:inline distT="0" distB="0" distL="0" distR="0" wp14:anchorId="5A489D4F" wp14:editId="2EC7B305">
            <wp:extent cx="5495925" cy="3209925"/>
            <wp:effectExtent l="0" t="0" r="9525" b="9525"/>
            <wp:docPr id="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1001 «Пенсионное обеспечение»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Расходы по подразделу исполнены в сумме 7146,9 тыс. руб., на доплаты к пенсиям  муниципальных служащих (99,7%).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1003 «Социальное обеспечение населения»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 Расходы по подразделу исполнены в сумме 64978,5 тыс. рублей (95,9%), в т. ч.:</w:t>
      </w:r>
    </w:p>
    <w:p w:rsidR="00531607" w:rsidRPr="00531607" w:rsidRDefault="00531607" w:rsidP="0053160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муниципальной программы «Молодой семье - доступное жилье» в сумме 13434,0 тыс. рублей, в т. ч. з</w:t>
      </w:r>
      <w:r w:rsidRPr="00531607">
        <w:rPr>
          <w:rFonts w:ascii="Times New Roman" w:hAnsi="Times New Roman" w:cs="Times New Roman"/>
          <w:sz w:val="24"/>
          <w:szCs w:val="24"/>
        </w:rPr>
        <w:t xml:space="preserve">а счет собственных доходов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4006,9 тыс. рублей;</w:t>
      </w:r>
    </w:p>
    <w:p w:rsidR="00531607" w:rsidRPr="00531607" w:rsidRDefault="00531607" w:rsidP="0053160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исполнение передаваемых государственных полномочий в пределах поступивших средств субвенций из областного бюджета:</w:t>
      </w:r>
    </w:p>
    <w:p w:rsidR="00531607" w:rsidRPr="00531607" w:rsidRDefault="00531607" w:rsidP="0053160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предоставлению жилищных субсидий исполнено 45398,1 тыс. рублей, в том числе на содержание аппарата 3604,1 тыс. рублей.</w:t>
      </w:r>
    </w:p>
    <w:p w:rsidR="00531607" w:rsidRPr="00531607" w:rsidRDefault="00531607" w:rsidP="0053160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по оплате жилья и коммунальных услуг специалистам, работающим на селе, исполнено 4896,4 тыс. рублей.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материальной помощи пострадавшим при чрезвычайной ситуации - 1250,0 тыс. рублей, в том числе за счет средств резервного фонда Правительства РФ на сумму 1220,0 тыс. рублей.   Для осуществления выплат гражданам, пострадавшим от природных пожаров 30,0 рублей – за счет средств местного бюджета.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1004 «Охрана семьи и детства»</w:t>
      </w: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   Расходы по подразделу исполнены в сумме  34527,7 тыс. руб. (99,7%), из них:</w:t>
      </w:r>
    </w:p>
    <w:p w:rsidR="00531607" w:rsidRPr="00531607" w:rsidRDefault="00531607" w:rsidP="0053160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компенсации части родительской платы за содержание ребенка в муниципальных образовательных дошкольных учреждениях предусмотрено 6761,7 тыс. рублей, средства освоены в полном объеме;</w:t>
      </w:r>
    </w:p>
    <w:p w:rsidR="00531607" w:rsidRPr="00531607" w:rsidRDefault="00531607" w:rsidP="0053160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выплатам на содержание ребенка в семье опекуна и приемной семье и на вознаграждения приемным родителям предусмотрено 27862,0 тыс. рублей, исполнено 27766,0 тыс. рублей. </w:t>
      </w: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sz w:val="24"/>
          <w:szCs w:val="24"/>
        </w:rPr>
        <w:t xml:space="preserve">            По разделу 1100 «Физическая культура и спорт»</w:t>
      </w: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кассовые расходы составили 16456,5 тыс. руб. и исполнены на 95,2% от плановых назначений. Доля в общей структуре расходов составила 1,09%.  По данному разделу финансируются следующие подразделы:</w:t>
      </w:r>
    </w:p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1102 «Массовый спорт»</w:t>
      </w: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     </w:t>
      </w:r>
      <w:r w:rsidRPr="00531607">
        <w:rPr>
          <w:rFonts w:ascii="Times New Roman" w:eastAsia="Calibri" w:hAnsi="Times New Roman" w:cs="Times New Roman"/>
          <w:sz w:val="24"/>
          <w:szCs w:val="24"/>
        </w:rPr>
        <w:t>Расходы по подразделу исполнены в сумме 16456,5 тыс. руб. (95,2 %).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В рамках муниципальной программы «Развитие массовой физической культуры и спорта городского округа город  Михайловка на 2017-2019 годы» расходы в сумме 16304,9 тыс. рублей  направлены </w:t>
      </w:r>
      <w:proofErr w:type="gramStart"/>
      <w:r w:rsidRPr="0053160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316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муниципального задания АУ «Центр физической культуры и спортивный подготовки» - 13913,8 тыс. рублей. </w:t>
      </w:r>
    </w:p>
    <w:p w:rsidR="00531607" w:rsidRPr="00531607" w:rsidRDefault="00531607" w:rsidP="00531607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-проведение мероприятий и подготовку сборных команд городского округа и сельских территорий в соревнованиях различного уровня – 2391,1 тыс. рублей.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мероприятий муниципальной программы «</w:t>
      </w:r>
      <w:r w:rsidRPr="005316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Содействие занятости населения в городском округе город Михайловка на 2017-2019 годы»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трудоустройство несовершеннолетних подростков израсходовано 151,6 тыс. рублей.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       </w:t>
      </w:r>
      <w:r w:rsidRPr="00531607">
        <w:rPr>
          <w:rFonts w:ascii="Times New Roman" w:eastAsia="Calibri" w:hAnsi="Times New Roman" w:cs="Times New Roman"/>
          <w:b/>
          <w:sz w:val="24"/>
          <w:szCs w:val="24"/>
        </w:rPr>
        <w:t xml:space="preserve">По разделу 1200 «Средства массовой информации» </w:t>
      </w: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кассовые расходы составили 3245,9 тыс. руб., и исполнены на 99,9 % от утвержденных плановых назначений. 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1202 «Периодическая печать и издательства»</w:t>
      </w:r>
    </w:p>
    <w:p w:rsidR="00531607" w:rsidRPr="00531607" w:rsidRDefault="00531607" w:rsidP="005316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 Расходы по подразделу исполнены в сумме 3245,9 тыс. руб. (99,9%)  на обеспечение выполнения муниципального задания общественно-политической газеты «Призыв»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3245,9 тыс. рублей.</w:t>
      </w:r>
    </w:p>
    <w:p w:rsidR="00531607" w:rsidRPr="00531607" w:rsidRDefault="00531607" w:rsidP="0053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разделу 1300 «Обслуживание государственного и муниципального долга»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</w:t>
      </w:r>
      <w:r w:rsidRPr="005316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исполнены в сумме 5084,7 тыс. рублей. 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1301 «</w:t>
      </w:r>
      <w:r w:rsidRPr="005316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Обслуживание внутреннего государственного и муниципального долга</w:t>
      </w:r>
      <w:r w:rsidRPr="0053160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531607" w:rsidRPr="00531607" w:rsidRDefault="00531607" w:rsidP="005316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  Расходы по подразделу исполнены в сумме 5084,7 тыс. руб. (99,9%) 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уплату процентов за пользование кредитом.</w:t>
      </w:r>
    </w:p>
    <w:p w:rsidR="00531607" w:rsidRPr="00531607" w:rsidRDefault="00531607" w:rsidP="005316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316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Обобщенная информация об исполнении муниципальных и ведомственных целевых программ, реализация которых осуществлялась в 2017 году</w:t>
      </w:r>
    </w:p>
    <w:p w:rsidR="00531607" w:rsidRPr="00531607" w:rsidRDefault="00531607" w:rsidP="0053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1607" w:rsidRPr="00531607" w:rsidRDefault="00531607" w:rsidP="00531607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В отчетном году реализовывалось 26 муниципальных и 5 ведомственных целевых программ, на реализацию которых, в 2017 году, направлено, из бюджета городского округа,  1181291,70 тыс. рублей.</w:t>
      </w:r>
      <w:r w:rsidRPr="005316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31607" w:rsidRPr="00531607" w:rsidRDefault="00531607" w:rsidP="00531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бюджет на 2017-2019 годы был принят с перечнем муниципальных программ с объемом ассигнований на 99850,8 тыс. рублей.  В окончательной редакции решения о бюджете плановые ассигнования на реализацию муниципальных программ составили 265651,9 тыс. руб., что на 165801,1 тыс. руб. больше первоначального показателя. В целом в 2017 году все муниципальные программы профинансированы на 255399,4 тыс. рублей.</w:t>
      </w:r>
    </w:p>
    <w:p w:rsidR="00531607" w:rsidRPr="00531607" w:rsidRDefault="00531607" w:rsidP="00531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Доля расходов на реализацию муниципальных программ в общих расходах городского бюджета в 2017 году, относительно 2016 года, осталась на прежнем уровне.</w:t>
      </w:r>
    </w:p>
    <w:p w:rsidR="00531607" w:rsidRPr="00531607" w:rsidRDefault="00531607" w:rsidP="00531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35"/>
        <w:gridCol w:w="2175"/>
        <w:gridCol w:w="1298"/>
        <w:gridCol w:w="1409"/>
        <w:gridCol w:w="1254"/>
      </w:tblGrid>
      <w:tr w:rsidR="00531607" w:rsidRPr="00531607" w:rsidTr="00531607">
        <w:trPr>
          <w:trHeight w:val="480"/>
        </w:trPr>
        <w:tc>
          <w:tcPr>
            <w:tcW w:w="1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531607" w:rsidRPr="00531607" w:rsidTr="00531607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</w:t>
            </w:r>
          </w:p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1122 </w:t>
            </w:r>
          </w:p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29.12.2016 г.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</w:t>
            </w:r>
          </w:p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</w:t>
            </w:r>
            <w:proofErr w:type="spellEnd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607" w:rsidRPr="00531607" w:rsidTr="00531607">
        <w:trPr>
          <w:trHeight w:val="1292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19950,0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19933,9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607" w:rsidRPr="00531607" w:rsidTr="00531607">
        <w:trPr>
          <w:trHeight w:val="1287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6148,6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5560,3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5007,7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</w:tr>
      <w:tr w:rsidR="00531607" w:rsidRPr="00531607" w:rsidTr="00531607">
        <w:trPr>
          <w:trHeight w:val="1287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городском округе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85,6</w:t>
            </w:r>
          </w:p>
        </w:tc>
      </w:tr>
      <w:tr w:rsidR="00531607" w:rsidRPr="00531607" w:rsidTr="00531607">
        <w:trPr>
          <w:trHeight w:val="119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61030,7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59571,4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531607" w:rsidRPr="00531607" w:rsidTr="00531607">
        <w:trPr>
          <w:trHeight w:val="1252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"Проведение капитального ремонта муниципального жилого фонда на территории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1257,8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32,8</w:t>
            </w:r>
          </w:p>
        </w:tc>
      </w:tr>
      <w:tr w:rsidR="00531607" w:rsidRPr="00531607" w:rsidTr="00531607">
        <w:trPr>
          <w:trHeight w:val="1128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27492,6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27492,3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607" w:rsidRPr="00531607" w:rsidTr="00531607">
        <w:trPr>
          <w:trHeight w:val="988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2606,5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607" w:rsidRPr="00531607" w:rsidTr="00531607">
        <w:trPr>
          <w:trHeight w:val="1128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в образовательных учреждениях"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2998,4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2903,2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</w:t>
            </w:r>
          </w:p>
        </w:tc>
      </w:tr>
      <w:tr w:rsidR="00531607" w:rsidRPr="00531607" w:rsidTr="00531607">
        <w:trPr>
          <w:trHeight w:val="83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"Медицинское обеспечение в образовательных учреждениях"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1748,4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86,2</w:t>
            </w:r>
          </w:p>
        </w:tc>
      </w:tr>
      <w:tr w:rsidR="00531607" w:rsidRPr="00531607" w:rsidTr="00531607">
        <w:trPr>
          <w:trHeight w:val="83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 «Повышение безопасности и антитеррористической защищенности в сфере спорта и молодежной политики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607" w:rsidRPr="00531607" w:rsidTr="00531607">
        <w:trPr>
          <w:trHeight w:val="834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92,1</w:t>
            </w:r>
          </w:p>
        </w:tc>
      </w:tr>
      <w:tr w:rsidR="00531607" w:rsidRPr="00531607" w:rsidTr="00531607">
        <w:trPr>
          <w:trHeight w:val="858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10799,3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10331,5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531607" w:rsidRPr="00531607" w:rsidTr="00531607">
        <w:trPr>
          <w:trHeight w:val="1551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531607" w:rsidRPr="00531607" w:rsidTr="00531607">
        <w:trPr>
          <w:trHeight w:val="112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оздоровления</w:t>
            </w:r>
            <w:proofErr w:type="gramEnd"/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обучающихся городского округа город Михайловка"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27476,0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33135,4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31825,6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531607" w:rsidRPr="00531607" w:rsidTr="00531607">
        <w:trPr>
          <w:trHeight w:val="1122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607" w:rsidRPr="00531607" w:rsidTr="00531607">
        <w:trPr>
          <w:trHeight w:val="839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"Молодой семье - доступное жилье в городском округе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2333,8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13887,5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13434,0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531607" w:rsidRPr="00531607" w:rsidTr="00531607">
        <w:trPr>
          <w:trHeight w:val="85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массовой  физической культуры и спорта на территории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17128,3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17938,3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16962,0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94,5</w:t>
            </w:r>
          </w:p>
        </w:tc>
      </w:tr>
      <w:tr w:rsidR="00531607" w:rsidRPr="00531607" w:rsidTr="00531607">
        <w:trPr>
          <w:trHeight w:val="85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607" w:rsidRPr="00531607" w:rsidTr="00531607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 программа                                     "</w:t>
            </w:r>
            <w:proofErr w:type="spellStart"/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повышение </w:t>
            </w:r>
            <w:proofErr w:type="spellStart"/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607" w:rsidRPr="00531607" w:rsidTr="00531607">
        <w:trPr>
          <w:trHeight w:val="699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«Формирование доступной среды жизнедеятельности для инвалидов и маломобильных групп населения в городском округе город Михайловка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3727,4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3727,4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607" w:rsidRPr="00531607" w:rsidTr="00531607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18505,0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18500,0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607" w:rsidRPr="00531607" w:rsidTr="00531607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«Укрепление и развитие материально-технической базы учреждений культуры городского округа город Михайловка на 2015-2017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1527,6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75,7</w:t>
            </w:r>
          </w:p>
        </w:tc>
      </w:tr>
      <w:tr w:rsidR="00531607" w:rsidRPr="00531607" w:rsidTr="00531607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территориального общественного самоуправления на территории городского округа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714,1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1979,9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1979,9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607" w:rsidRPr="00531607" w:rsidTr="00531607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транспортной инфраструктуры городского округа город Михайловка Волгоградской области на 2017-2026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78,5</w:t>
            </w:r>
          </w:p>
        </w:tc>
      </w:tr>
      <w:tr w:rsidR="00531607" w:rsidRPr="00531607" w:rsidTr="00531607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городского округа город Михайловка Волгоградской области на 2017 год»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37432,7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35167,4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93,9</w:t>
            </w:r>
          </w:p>
        </w:tc>
      </w:tr>
      <w:tr w:rsidR="00531607" w:rsidRPr="00531607" w:rsidTr="00531607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34,4</w:t>
            </w:r>
          </w:p>
        </w:tc>
      </w:tr>
      <w:tr w:rsidR="00531607" w:rsidRPr="00531607" w:rsidTr="00531607">
        <w:trPr>
          <w:trHeight w:val="42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99850,8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265651,9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255399,4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96,1</w:t>
            </w:r>
          </w:p>
        </w:tc>
      </w:tr>
    </w:tbl>
    <w:p w:rsidR="00531607" w:rsidRPr="00531607" w:rsidRDefault="00531607" w:rsidP="00531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0"/>
          <w:lang w:eastAsia="ru-RU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0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0"/>
        <w:gridCol w:w="1277"/>
        <w:gridCol w:w="1316"/>
        <w:gridCol w:w="1056"/>
        <w:gridCol w:w="1056"/>
      </w:tblGrid>
      <w:tr w:rsidR="00531607" w:rsidRPr="00531607" w:rsidTr="00531607">
        <w:trPr>
          <w:trHeight w:val="466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ведомственной целевой программы </w:t>
            </w:r>
          </w:p>
        </w:tc>
        <w:tc>
          <w:tcPr>
            <w:tcW w:w="1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proofErr w:type="spellEnd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31607" w:rsidRPr="00531607" w:rsidTr="00531607">
        <w:trPr>
          <w:trHeight w:val="914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№1122 от 29.12.2016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</w:t>
            </w:r>
            <w:proofErr w:type="spellEnd"/>
            <w:r w:rsidRPr="00531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607" w:rsidRPr="00531607" w:rsidTr="00531607">
        <w:trPr>
          <w:trHeight w:val="829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18523,1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26256,3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26102,9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607" w:rsidRPr="00531607" w:rsidTr="00531607">
        <w:trPr>
          <w:trHeight w:val="1265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197462,8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249578,3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234457,6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93,9</w:t>
            </w:r>
          </w:p>
        </w:tc>
      </w:tr>
      <w:tr w:rsidR="00531607" w:rsidRPr="00531607" w:rsidTr="00531607">
        <w:trPr>
          <w:trHeight w:val="1127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461375,3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593310,0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553680,2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</w:tr>
      <w:tr w:rsidR="00531607" w:rsidRPr="00531607" w:rsidTr="00531607">
        <w:trPr>
          <w:trHeight w:val="534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14264,0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16805,3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16187,0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</w:t>
            </w:r>
          </w:p>
        </w:tc>
      </w:tr>
      <w:tr w:rsidR="00531607" w:rsidRPr="00531607" w:rsidTr="00531607">
        <w:trPr>
          <w:trHeight w:val="853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"Сохранение и развитие культуры городского округа город Михайловка" на 2016-2018 годы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102577,0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99339,4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95464,6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96,1</w:t>
            </w:r>
          </w:p>
        </w:tc>
      </w:tr>
      <w:tr w:rsidR="00531607" w:rsidRPr="00531607" w:rsidTr="00531607">
        <w:trPr>
          <w:trHeight w:val="406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794202,2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985289,3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925892,3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07" w:rsidRPr="00531607" w:rsidRDefault="00531607" w:rsidP="0053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94,0</w:t>
            </w:r>
          </w:p>
        </w:tc>
      </w:tr>
    </w:tbl>
    <w:p w:rsidR="00531607" w:rsidRPr="00531607" w:rsidRDefault="00531607" w:rsidP="00531607">
      <w:pPr>
        <w:spacing w:after="0"/>
        <w:rPr>
          <w:rFonts w:ascii="Times New Roman" w:eastAsia="Calibri" w:hAnsi="Times New Roman" w:cs="Calibri"/>
          <w:b/>
          <w:color w:val="C0504D" w:themeColor="accent2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/>
        <w:rPr>
          <w:rFonts w:ascii="Times New Roman" w:eastAsia="Calibri" w:hAnsi="Times New Roman" w:cs="Calibri"/>
          <w:b/>
          <w:color w:val="C0504D" w:themeColor="accent2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Calibri"/>
          <w:b/>
          <w:color w:val="C0504D" w:themeColor="accent2"/>
          <w:sz w:val="24"/>
          <w:szCs w:val="24"/>
          <w:lang w:eastAsia="ar-SA"/>
        </w:rPr>
      </w:pP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Calibri"/>
          <w:b/>
          <w:sz w:val="24"/>
          <w:szCs w:val="24"/>
          <w:lang w:eastAsia="ar-SA"/>
        </w:rPr>
        <w:t>Исполнение судебных решений по взысканиям к бюджету</w:t>
      </w:r>
    </w:p>
    <w:p w:rsidR="00531607" w:rsidRPr="00531607" w:rsidRDefault="00531607" w:rsidP="00531607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077"/>
        <w:gridCol w:w="1364"/>
        <w:gridCol w:w="1289"/>
        <w:gridCol w:w="1369"/>
        <w:gridCol w:w="1544"/>
        <w:gridCol w:w="949"/>
        <w:gridCol w:w="1029"/>
      </w:tblGrid>
      <w:tr w:rsidR="00531607" w:rsidRPr="00531607" w:rsidTr="00531607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5316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№, дата дела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организации, Ф.И.О. взыскателя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испол</w:t>
            </w:r>
            <w:proofErr w:type="spellEnd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. листа, дата поступления в комитет по финансам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Пени, недоимка, оплата услуг представителя, проценты, убытки, и др., руб.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Гос. пошлина</w:t>
            </w:r>
            <w:proofErr w:type="gramEnd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Номер, дата пл. поручения</w:t>
            </w:r>
          </w:p>
        </w:tc>
      </w:tr>
      <w:tr w:rsidR="00531607" w:rsidRPr="00531607" w:rsidTr="00531607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№2-926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2016 ОТ 19.04.2016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межрайонный прокурор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ФС 014841215 10.02.2017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770 от 28.02.2017 на сумму 300,00 руб.</w:t>
            </w:r>
          </w:p>
        </w:tc>
      </w:tr>
      <w:tr w:rsidR="00531607" w:rsidRPr="00531607" w:rsidTr="00531607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А12-19324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УК </w:t>
            </w:r>
            <w:proofErr w:type="spellStart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Сантехсервис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ФС016424928 05.04.2017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Арбитражный суд Волгоградской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Неосновательное обогащение 105166,48 Проценты за пользование чужими денежными средствами 3625,08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4240,0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8320 от 17.04.2017 на сумму 108791,56, № 8321 от 17.04.2017 на сумму 4240,00</w:t>
            </w:r>
          </w:p>
        </w:tc>
      </w:tr>
      <w:tr w:rsidR="00531607" w:rsidRPr="00531607" w:rsidTr="00531607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2-461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2017 от 18.04.2017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Плахтий</w:t>
            </w:r>
            <w:proofErr w:type="spellEnd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ФС 019182200 09.06.2017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Убытки 10000,0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14021 от 16.06.2017 на сумму 10400,00</w:t>
            </w:r>
          </w:p>
        </w:tc>
      </w:tr>
      <w:tr w:rsidR="00531607" w:rsidRPr="00531607" w:rsidTr="00531607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2-461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/2017 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от 24.05.2017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Плахтий</w:t>
            </w:r>
            <w:proofErr w:type="spellEnd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ФС 019182201 09.06.2017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представителя 6000,0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14020 от 16.06.2017 на сумму 6000,0</w:t>
            </w:r>
          </w:p>
        </w:tc>
      </w:tr>
      <w:tr w:rsidR="00531607" w:rsidRPr="00531607" w:rsidTr="00531607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А12-59587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2016 от 06.03.2017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ООО УК Жилищное хозяйство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ФС 016447367 27.06.2017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Арбитражный суд Волгоградской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Основная задолженность 94884,67, пени 16744,58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4349,00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15360 от 03.07.2017 на сумму 94884,67, № 15357 от 03.07.2017 на сумму 21093,58</w:t>
            </w:r>
          </w:p>
        </w:tc>
      </w:tr>
      <w:tr w:rsidR="00531607" w:rsidRPr="00531607" w:rsidTr="00531607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А2-540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2016 от 10.03.2016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Рогатов</w:t>
            </w:r>
            <w:proofErr w:type="spellEnd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С.Ф.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ФС 022915846 18.09.2017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Судебные расходы 10000,0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23684 от 21.09.2017 на сумму 10000,0</w:t>
            </w:r>
          </w:p>
        </w:tc>
      </w:tr>
      <w:tr w:rsidR="00531607" w:rsidRPr="00531607" w:rsidTr="00531607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№2-1363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2016 от 12.10.2016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Стаценко А.А.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ФС 022917337 16.10.2017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Материальный ущерб 101651,0, услуги представителя 7000,0, расходы на оценку 8000,0, оплата диагностики ходовой части автомобиля 1840,0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3233,0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27118 от 19.10.2017  на сумму 121724,0</w:t>
            </w:r>
          </w:p>
        </w:tc>
      </w:tr>
      <w:tr w:rsidR="00531607" w:rsidRPr="00531607" w:rsidTr="00531607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2-34-1213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2017 от 21.08.2017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Берникова Н.А.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ВС 074926243 23.10.2017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Мировой судья судебного участка № 34 Волгоградской области М.Н. Моисеев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Убытки 12795,00, почтовая связь 246,0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512,0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27577 от 26.10.2017 на сумму 13553,10</w:t>
            </w:r>
          </w:p>
        </w:tc>
      </w:tr>
      <w:tr w:rsidR="00531607" w:rsidRPr="00531607" w:rsidTr="00531607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2-34-1443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2017 от 26.09.2017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Озерин</w:t>
            </w:r>
            <w:proofErr w:type="spellEnd"/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ВС 076613439 31.10.2017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Мировой судья судебного участка № 34 Волгоградской области М.Н. Моисеев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Ущерб 34200,0, экспертиза 12000,0 нотариальные расходы 1000,0, услуги представителя 5000,0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28880 от 08.11.2017 на сумму 52200,0</w:t>
            </w:r>
          </w:p>
        </w:tc>
      </w:tr>
      <w:tr w:rsidR="00531607" w:rsidRPr="00531607" w:rsidTr="00531607">
        <w:trPr>
          <w:trHeight w:val="11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А12-22958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2017 от 21.08.2017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ПАО МРСК Юга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ФС 020408264 27.11.2017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Арбитражный суд Волгоградской области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Основной долг 9273,97, пени 841,22,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7" w:rsidRPr="00531607" w:rsidRDefault="00531607" w:rsidP="005316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607">
              <w:rPr>
                <w:rFonts w:ascii="Times New Roman" w:eastAsia="Calibri" w:hAnsi="Times New Roman" w:cs="Times New Roman"/>
                <w:sz w:val="18"/>
                <w:szCs w:val="18"/>
              </w:rPr>
              <w:t>№ 30726 от 30.11.2017 на сумму 9273,97, № 30725 от 30.11.2017 на сумму 2841,22</w:t>
            </w:r>
          </w:p>
        </w:tc>
      </w:tr>
    </w:tbl>
    <w:p w:rsidR="00531607" w:rsidRPr="00531607" w:rsidRDefault="00531607" w:rsidP="00531607">
      <w:pPr>
        <w:spacing w:after="0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принципом иммунитета бюджета, закрепленным пунктом 1 статьи 239 Бюджетного кодекса РФ, последний представляет собой правовой режим, при котором обращение взыскания на средства бюджетов бюджетной системы РФ осуществляется только на основании судебного акта.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пунктом 1 статьи 242.1 БК РФ исполнение судебных актов по обращению взыскания на средства бюджетов бюджетной системы РФ производится на основании исполнительных документов с указанием сумм, подлежащих взысканию.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2017 году обращено взыскание на средства бюджета городского округа  в сумме 455302,0</w:t>
      </w:r>
      <w:r w:rsidRPr="0053160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proofErr w:type="gramStart"/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основная задолженность </w:t>
      </w:r>
      <w:r w:rsidR="003C219F">
        <w:rPr>
          <w:rFonts w:ascii="Times New Roman" w:eastAsia="Times New Roman" w:hAnsi="Times New Roman" w:cs="Times New Roman"/>
          <w:sz w:val="24"/>
          <w:szCs w:val="24"/>
          <w:lang w:eastAsia="ru-RU"/>
        </w:rPr>
        <w:t>209325,12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государственная пошлина -  15034,0 руб., оплата услуг представителя в суде – 28000,0 рублей, пени в сумме 17585,8</w:t>
      </w:r>
      <w:r w:rsidRPr="0053160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процентов за пользование чужими денежными средствами в сумме 3625,08  руб., убытков, ущерба  в сумме 158646,0 </w:t>
      </w:r>
      <w:r w:rsidRPr="0053160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расходов на экспертизу, оценку 21840,0 руб., другие расходы (нотариальные, почтовая связь) 1246,0 рублей.</w:t>
      </w:r>
      <w:proofErr w:type="gramEnd"/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указанные средства  (</w:t>
      </w:r>
      <w:r w:rsidR="003C219F">
        <w:rPr>
          <w:rFonts w:ascii="Times New Roman" w:eastAsia="Times New Roman" w:hAnsi="Times New Roman" w:cs="Times New Roman"/>
          <w:sz w:val="24"/>
          <w:szCs w:val="24"/>
          <w:lang w:eastAsia="ru-RU"/>
        </w:rPr>
        <w:t>245976,88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 относятся к неэффективным расходам бюджета городского округа город Михайловка, поскольку не направлены на решение вопросов местного значения.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31607" w:rsidRPr="00531607" w:rsidRDefault="00531607" w:rsidP="00531607">
      <w:pPr>
        <w:autoSpaceDE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Calibri"/>
          <w:b/>
          <w:sz w:val="24"/>
          <w:szCs w:val="24"/>
          <w:lang w:eastAsia="ar-SA"/>
        </w:rPr>
        <w:t>Выводы:</w:t>
      </w:r>
    </w:p>
    <w:p w:rsidR="00531607" w:rsidRPr="00531607" w:rsidRDefault="00531607" w:rsidP="00531607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  В соответствии со ст.264.4 БК РФ и п.3 ст. 52  положения о бюджетном процессе, отчет об исполнении бюджета городского округа город Михайловка за 2017 год представлен Администрацией в Михайловскую городскую Думу  в установленный срок 29.03.2018 года.</w:t>
      </w:r>
    </w:p>
    <w:p w:rsidR="00531607" w:rsidRPr="008E0118" w:rsidRDefault="00531607" w:rsidP="00531607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</w:pPr>
      <w:r w:rsidRPr="008E0118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      Анализ соблюдения бюджетного законодательства при организации исполнения бюджета городского округа город Михайловка в 2017 году установил, что система исполнения бюджета городского округа соответствует требованиям действующего законодательства. Годовой отчет об исполнении бюджета за 2017 год по составу и предоставлению соответствует установленным требованиям.</w:t>
      </w:r>
    </w:p>
    <w:p w:rsidR="00531607" w:rsidRPr="00531607" w:rsidRDefault="00531607" w:rsidP="00531607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Ежеквартальные сведения о ходе исполнения местного  бюджета и о численности муниципальных служащих, работниках муниципальных учреждений с указанием фактических затрат на их денежное содержание опубликованы в газете «Панорама новостей»: № 18(333) от 05.05.2017 г., «Призыв» № 60(17435) от 28.07.2017 г., «Призыв» № 89(17464) от 07.11.2017 г.</w:t>
      </w:r>
    </w:p>
    <w:p w:rsidR="00531607" w:rsidRPr="00531607" w:rsidRDefault="00531607" w:rsidP="00531607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iCs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      По доходам бюджет городского округа исполнен в 2017 году в сумме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ar-SA"/>
        </w:rPr>
        <w:t>1490330,3</w:t>
      </w:r>
      <w:r w:rsidRPr="00531607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 тыс. руб., (т.е. бюджетные назначения выполнены на 101,9 % от плана). По отношению к уровню 2016 года доходы бюджета уменьшились  на 42118,2 тыс. руб. </w:t>
      </w:r>
      <w:r w:rsidRPr="00531607">
        <w:rPr>
          <w:rFonts w:ascii="Times New Roman" w:eastAsia="Calibri" w:hAnsi="Times New Roman" w:cs="Times New Roman"/>
          <w:sz w:val="24"/>
          <w:szCs w:val="24"/>
          <w:lang w:eastAsia="ar-SA"/>
        </w:rPr>
        <w:t>В общей  сумме поступивших доходов доля налоговых и неналоговых платежей составляет  51,9%, безвозмездных поступлений – 48,1%, в предыдущем году данное соотношение составляло   52,7% и 47,3 % , в 2015 году 51,7 % и 48,3%  соответственно.</w:t>
      </w:r>
    </w:p>
    <w:p w:rsidR="00531607" w:rsidRPr="00531607" w:rsidRDefault="00531607" w:rsidP="00531607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Решением Думы на 2017 год утвержден бездефицитный бюджет. Фактически  бюджет городского округа за 2017 год исполнен с дефицитом  в сумме 21173,8 тыс. рублей. Источниками финансирования дефицита бюджета явилось изменение остатков средств на счетах по учету средств бюджета городского округа в течение соответствующего финансового года в сумме 36467,2  тыс. рублей.              </w:t>
      </w:r>
    </w:p>
    <w:p w:rsidR="00531607" w:rsidRPr="00531607" w:rsidRDefault="00531607" w:rsidP="0053160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60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На формирование резервного фонда в бюджете городского округа город Михайловка на 2016 год  первоначально предусматривались средства в сумме 500,0 тыс. рублей</w:t>
      </w:r>
      <w:r w:rsidRPr="00531607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. </w:t>
      </w:r>
      <w:r w:rsidRPr="00531607">
        <w:rPr>
          <w:rFonts w:ascii="Times New Roman" w:eastAsia="Calibri" w:hAnsi="Times New Roman" w:cs="Calibri"/>
          <w:sz w:val="24"/>
          <w:szCs w:val="24"/>
          <w:lang w:eastAsia="ar-SA"/>
        </w:rPr>
        <w:t>Согласно отчету</w:t>
      </w:r>
      <w:r w:rsidRPr="00531607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 </w:t>
      </w:r>
      <w:r w:rsidRPr="00531607">
        <w:rPr>
          <w:rFonts w:ascii="Times New Roman" w:eastAsia="Calibri" w:hAnsi="Times New Roman" w:cs="Calibri"/>
          <w:sz w:val="24"/>
          <w:szCs w:val="24"/>
          <w:lang w:eastAsia="ar-SA"/>
        </w:rPr>
        <w:t>о расходовании средств резервного фонда администрации городского округа город Михайловка исполнение составило 292,9 тыс. руб.</w:t>
      </w:r>
      <w:r w:rsidRPr="0053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Расходы резервного фонда произведены в соответствии с установленными лимитами. Размер резервного фонда соответствует требованиям п.3 ст.81 БК РФ и не  превышает 3 процентов утвержденного решениями Михайловской городской Думы общего объема расходов.</w:t>
      </w:r>
    </w:p>
    <w:p w:rsidR="00531607" w:rsidRPr="00531607" w:rsidRDefault="00531607" w:rsidP="005316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1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По состоянию на 1 января 2017 года и на 1 января 2018 года задолженности по бюджетным кредитам нет.</w:t>
      </w:r>
    </w:p>
    <w:p w:rsidR="00531607" w:rsidRPr="00531607" w:rsidRDefault="00531607" w:rsidP="00531607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Бюджетные кредиты из бюджета городского округа город Михайловка в 2017 году не выдавались.</w:t>
      </w:r>
    </w:p>
    <w:p w:rsidR="00531607" w:rsidRPr="00531607" w:rsidRDefault="00531607" w:rsidP="00531607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Муниципальные гарантии городского округа город Михайловка  в 2017 году юридическим лицам не предоставлялись.</w:t>
      </w:r>
    </w:p>
    <w:p w:rsidR="00531607" w:rsidRPr="00531607" w:rsidRDefault="00531607" w:rsidP="0053160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31607">
        <w:rPr>
          <w:rFonts w:ascii="Times New Roman" w:hAnsi="Times New Roman" w:cs="Calibri"/>
          <w:sz w:val="24"/>
          <w:szCs w:val="24"/>
          <w:lang w:eastAsia="ar-SA"/>
        </w:rPr>
        <w:t xml:space="preserve">            Кредиторская задолженность относительно начала года увеличилась на 8017,3 тыс. руб. и составляет на 01.01.2018 г. 65782,3 тыс. руб., </w:t>
      </w: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просроченная задолженность - 18482,3 тыс. руб.</w:t>
      </w:r>
      <w:r w:rsidRPr="0053160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Дебиторская задолженность бюджета города по состоянию на 01.01.2018 года увеличилась на 803,5 тыс. руб. по сравнению с началом года и составила 116711,8 тыс. руб. </w:t>
      </w:r>
      <w:r w:rsidRPr="00531607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 Кассовые расходы бюджета городского округа исполнены на 94,6 % уточненного плана и составили 1511504,1 тыс. рублей, что меньше  расходов 2016 года на 33193,00 тыс. руб. К первоначальному плану фактическое исполнение увеличилось на 328257,7</w:t>
      </w:r>
      <w:r w:rsidRPr="005316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тыс. руб. </w:t>
      </w:r>
    </w:p>
    <w:p w:rsidR="00531607" w:rsidRPr="00531607" w:rsidRDefault="00531607" w:rsidP="00531607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В отчетном году реализовывалось 26 муниципальных и 5 ведомственных целевых программ, на реализацию которых, в 2017 году, направлено, из бюджета городского округа,  1181291,70 тыс. рублей.</w:t>
      </w:r>
      <w:r w:rsidRPr="0053160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31607" w:rsidRPr="00531607" w:rsidRDefault="00531607" w:rsidP="00531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Волгоградской обл. от 27.03.2017 N 142-п "Об установлении нормативов формирования расходов на содержание органов местного </w:t>
      </w:r>
      <w:r w:rsidRPr="00531607">
        <w:rPr>
          <w:rFonts w:ascii="Times New Roman" w:eastAsia="Calibri" w:hAnsi="Times New Roman" w:cs="Times New Roman"/>
          <w:sz w:val="24"/>
          <w:szCs w:val="24"/>
        </w:rPr>
        <w:lastRenderedPageBreak/>
        <w:t>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2017 год" установлен норматив в размере 89733,0 тыс. рублей.</w:t>
      </w:r>
      <w:proofErr w:type="gramEnd"/>
      <w:r w:rsidRPr="00531607">
        <w:rPr>
          <w:rFonts w:ascii="Times New Roman" w:eastAsia="Calibri" w:hAnsi="Times New Roman" w:cs="Times New Roman"/>
          <w:sz w:val="24"/>
          <w:szCs w:val="24"/>
        </w:rPr>
        <w:t xml:space="preserve"> Согласно отчету об исполнении бюджета за 2017 год, расходы на содержание органов местного самоуправления городского округа не превышают установленный норматив. Рекомендация устанавливать расходы на содержание представительного органа местного самоуправления и контрольно-счетного органа в совокупности в </w:t>
      </w:r>
      <w:proofErr w:type="gramStart"/>
      <w:r w:rsidRPr="00531607">
        <w:rPr>
          <w:rFonts w:ascii="Times New Roman" w:eastAsia="Calibri" w:hAnsi="Times New Roman" w:cs="Times New Roman"/>
          <w:sz w:val="24"/>
          <w:szCs w:val="24"/>
        </w:rPr>
        <w:t>объеме, не превышающем 7 процентов норматива на содержание органов местного самоуправления выполняется</w:t>
      </w:r>
      <w:proofErr w:type="gramEnd"/>
      <w:r w:rsidRPr="005316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3C22" w:rsidRPr="00531607" w:rsidRDefault="00531607" w:rsidP="00FA3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3C22"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2017 году обращено взыскание на средства бюджета городского округа  в сумме 455302,0</w:t>
      </w:r>
      <w:r w:rsidR="00FA3C22" w:rsidRPr="0053160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FA3C22"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proofErr w:type="gramStart"/>
      <w:r w:rsidR="00FA3C22"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основная задолженность </w:t>
      </w:r>
      <w:r w:rsidR="00FA3C22">
        <w:rPr>
          <w:rFonts w:ascii="Times New Roman" w:eastAsia="Times New Roman" w:hAnsi="Times New Roman" w:cs="Times New Roman"/>
          <w:sz w:val="24"/>
          <w:szCs w:val="24"/>
          <w:lang w:eastAsia="ru-RU"/>
        </w:rPr>
        <w:t>209325,12</w:t>
      </w:r>
      <w:r w:rsidR="00FA3C22"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государственная пошлина -  15034,0 руб., оплата услуг представителя в суде – 28000,0 рублей, пени в сумме 17585,8</w:t>
      </w:r>
      <w:r w:rsidR="00FA3C22" w:rsidRPr="0053160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FA3C22"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процентов за пользование чужими денежными средствами в сумме 3625,08  руб., убытков, ущерба  в сумме 158646,0 </w:t>
      </w:r>
      <w:r w:rsidR="00FA3C22" w:rsidRPr="0053160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FA3C22"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расходов на экспертизу, оценку 21840,0 руб., другие расходы (нотариальные, почтовая связь) 1246,0 рублей.</w:t>
      </w:r>
      <w:proofErr w:type="gramEnd"/>
      <w:r w:rsidR="00FA3C22"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указанные средства  (</w:t>
      </w:r>
      <w:r w:rsidR="00FA3C22">
        <w:rPr>
          <w:rFonts w:ascii="Times New Roman" w:eastAsia="Times New Roman" w:hAnsi="Times New Roman" w:cs="Times New Roman"/>
          <w:sz w:val="24"/>
          <w:szCs w:val="24"/>
          <w:lang w:eastAsia="ru-RU"/>
        </w:rPr>
        <w:t>245976,88</w:t>
      </w:r>
      <w:r w:rsidR="00FA3C22"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 относятся к неэффективным расходам бюджета городского округа город Михайловка, поскольку не направлены на решение вопросов местного значения.</w:t>
      </w:r>
    </w:p>
    <w:p w:rsidR="00531607" w:rsidRPr="00531607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53160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Председатель КСК                                                                                             В.Г. Гудкова</w:t>
      </w:r>
    </w:p>
    <w:p w:rsidR="00531607" w:rsidRPr="00531607" w:rsidRDefault="00531607" w:rsidP="00531607">
      <w:pP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Консультант КСК                                                                                            У.С. </w:t>
      </w:r>
      <w:proofErr w:type="spellStart"/>
      <w:r w:rsidRPr="0053160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Антонцева</w:t>
      </w:r>
      <w:proofErr w:type="spellEnd"/>
      <w:r w:rsidRPr="0053160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</w:t>
      </w:r>
    </w:p>
    <w:p w:rsidR="00531607" w:rsidRPr="00531607" w:rsidRDefault="00531607" w:rsidP="00531607">
      <w:pP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53160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Консультант КСК                                                                                            Ю.П. Петрова</w:t>
      </w:r>
    </w:p>
    <w:p w:rsidR="00531607" w:rsidRPr="00531607" w:rsidRDefault="00531607" w:rsidP="00531607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31607" w:rsidRPr="00531607" w:rsidRDefault="00531607" w:rsidP="00531607">
      <w:pPr>
        <w:rPr>
          <w:rFonts w:ascii="Calibri" w:eastAsia="Calibri" w:hAnsi="Calibri" w:cs="Times New Roman"/>
        </w:rPr>
      </w:pPr>
    </w:p>
    <w:p w:rsidR="00531607" w:rsidRPr="00531607" w:rsidRDefault="00531607" w:rsidP="00531607">
      <w:pPr>
        <w:rPr>
          <w:rFonts w:ascii="Calibri" w:eastAsia="Calibri" w:hAnsi="Calibri" w:cs="Times New Roman"/>
        </w:rPr>
      </w:pPr>
    </w:p>
    <w:p w:rsidR="00531607" w:rsidRPr="00531607" w:rsidRDefault="00531607" w:rsidP="00531607"/>
    <w:p w:rsidR="00531607" w:rsidRPr="00531607" w:rsidRDefault="00531607" w:rsidP="00531607"/>
    <w:p w:rsidR="00287C53" w:rsidRDefault="00287C53" w:rsidP="00083FA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87C53" w:rsidSect="00A4440E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79" w:rsidRDefault="00BA1979" w:rsidP="00E26113">
      <w:pPr>
        <w:spacing w:after="0" w:line="240" w:lineRule="auto"/>
      </w:pPr>
      <w:r>
        <w:separator/>
      </w:r>
    </w:p>
  </w:endnote>
  <w:endnote w:type="continuationSeparator" w:id="0">
    <w:p w:rsidR="00BA1979" w:rsidRDefault="00BA1979" w:rsidP="00E2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79" w:rsidRDefault="00BA1979" w:rsidP="00E26113">
      <w:pPr>
        <w:spacing w:after="0" w:line="240" w:lineRule="auto"/>
      </w:pPr>
      <w:r>
        <w:separator/>
      </w:r>
    </w:p>
  </w:footnote>
  <w:footnote w:type="continuationSeparator" w:id="0">
    <w:p w:rsidR="00BA1979" w:rsidRDefault="00BA1979" w:rsidP="00E2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968608"/>
      <w:docPartObj>
        <w:docPartGallery w:val="Page Numbers (Top of Page)"/>
        <w:docPartUnique/>
      </w:docPartObj>
    </w:sdtPr>
    <w:sdtEndPr/>
    <w:sdtContent>
      <w:p w:rsidR="00FA3C22" w:rsidRDefault="00FA3C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A6">
          <w:rPr>
            <w:noProof/>
          </w:rPr>
          <w:t>3</w:t>
        </w:r>
        <w:r>
          <w:fldChar w:fldCharType="end"/>
        </w:r>
      </w:p>
    </w:sdtContent>
  </w:sdt>
  <w:p w:rsidR="00FA3C22" w:rsidRDefault="00FA3C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2"/>
        </w:tabs>
        <w:ind w:left="62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84"/>
        </w:tabs>
        <w:ind w:left="8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08"/>
        </w:tabs>
        <w:ind w:left="14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70"/>
        </w:tabs>
        <w:ind w:left="16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94"/>
        </w:tabs>
        <w:ind w:left="219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56"/>
        </w:tabs>
        <w:ind w:left="245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3">
    <w:nsid w:val="06AD42C5"/>
    <w:multiLevelType w:val="hybridMultilevel"/>
    <w:tmpl w:val="995A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3E7E"/>
    <w:multiLevelType w:val="multilevel"/>
    <w:tmpl w:val="64101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7A296C"/>
    <w:multiLevelType w:val="hybridMultilevel"/>
    <w:tmpl w:val="65F4B66E"/>
    <w:lvl w:ilvl="0" w:tplc="49E8C4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EA62E6C"/>
    <w:multiLevelType w:val="hybridMultilevel"/>
    <w:tmpl w:val="BCD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83EC3"/>
    <w:multiLevelType w:val="hybridMultilevel"/>
    <w:tmpl w:val="C7EE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5567D"/>
    <w:multiLevelType w:val="hybridMultilevel"/>
    <w:tmpl w:val="742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30577"/>
    <w:multiLevelType w:val="hybridMultilevel"/>
    <w:tmpl w:val="0A54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A1E4C"/>
    <w:multiLevelType w:val="hybridMultilevel"/>
    <w:tmpl w:val="3B34AD02"/>
    <w:lvl w:ilvl="0" w:tplc="6AC6C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0F5930"/>
    <w:multiLevelType w:val="hybridMultilevel"/>
    <w:tmpl w:val="96B4168E"/>
    <w:lvl w:ilvl="0" w:tplc="AD7031D8">
      <w:start w:val="40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C3939"/>
    <w:multiLevelType w:val="hybridMultilevel"/>
    <w:tmpl w:val="ED50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050D9"/>
    <w:multiLevelType w:val="hybridMultilevel"/>
    <w:tmpl w:val="288A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B042A"/>
    <w:multiLevelType w:val="hybridMultilevel"/>
    <w:tmpl w:val="390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00A5B"/>
    <w:multiLevelType w:val="hybridMultilevel"/>
    <w:tmpl w:val="40D6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E7264"/>
    <w:multiLevelType w:val="hybridMultilevel"/>
    <w:tmpl w:val="B69E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46CBC"/>
    <w:multiLevelType w:val="hybridMultilevel"/>
    <w:tmpl w:val="BB7AA7B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856B3"/>
    <w:multiLevelType w:val="hybridMultilevel"/>
    <w:tmpl w:val="5E64A524"/>
    <w:lvl w:ilvl="0" w:tplc="C9FEA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03A0F"/>
    <w:multiLevelType w:val="hybridMultilevel"/>
    <w:tmpl w:val="0ABAE520"/>
    <w:lvl w:ilvl="0" w:tplc="1076D9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4DF5EAB"/>
    <w:multiLevelType w:val="hybridMultilevel"/>
    <w:tmpl w:val="1B38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B7D17"/>
    <w:multiLevelType w:val="hybridMultilevel"/>
    <w:tmpl w:val="E4D0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536F7"/>
    <w:multiLevelType w:val="hybridMultilevel"/>
    <w:tmpl w:val="9BB860EC"/>
    <w:lvl w:ilvl="0" w:tplc="2996B014">
      <w:start w:val="40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F32BA"/>
    <w:multiLevelType w:val="hybridMultilevel"/>
    <w:tmpl w:val="365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84000"/>
    <w:multiLevelType w:val="hybridMultilevel"/>
    <w:tmpl w:val="C3A4F72C"/>
    <w:lvl w:ilvl="0" w:tplc="1332D5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D20D0"/>
    <w:multiLevelType w:val="hybridMultilevel"/>
    <w:tmpl w:val="76341938"/>
    <w:lvl w:ilvl="0" w:tplc="A3E0588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2437854"/>
    <w:multiLevelType w:val="hybridMultilevel"/>
    <w:tmpl w:val="507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E3D0D"/>
    <w:multiLevelType w:val="hybridMultilevel"/>
    <w:tmpl w:val="A156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90FFC"/>
    <w:multiLevelType w:val="hybridMultilevel"/>
    <w:tmpl w:val="D908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69A9"/>
    <w:multiLevelType w:val="hybridMultilevel"/>
    <w:tmpl w:val="051C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D5626"/>
    <w:multiLevelType w:val="hybridMultilevel"/>
    <w:tmpl w:val="E06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91720"/>
    <w:multiLevelType w:val="multilevel"/>
    <w:tmpl w:val="99A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E5691"/>
    <w:multiLevelType w:val="hybridMultilevel"/>
    <w:tmpl w:val="CBDC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14F2F"/>
    <w:multiLevelType w:val="hybridMultilevel"/>
    <w:tmpl w:val="13F2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26BB4"/>
    <w:multiLevelType w:val="hybridMultilevel"/>
    <w:tmpl w:val="A1581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27"/>
  </w:num>
  <w:num w:numId="9">
    <w:abstractNumId w:val="35"/>
  </w:num>
  <w:num w:numId="10">
    <w:abstractNumId w:val="4"/>
  </w:num>
  <w:num w:numId="11">
    <w:abstractNumId w:val="17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33"/>
  </w:num>
  <w:num w:numId="19">
    <w:abstractNumId w:val="20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34"/>
  </w:num>
  <w:num w:numId="25">
    <w:abstractNumId w:val="18"/>
  </w:num>
  <w:num w:numId="26">
    <w:abstractNumId w:val="30"/>
  </w:num>
  <w:num w:numId="27">
    <w:abstractNumId w:val="24"/>
  </w:num>
  <w:num w:numId="28">
    <w:abstractNumId w:val="23"/>
  </w:num>
  <w:num w:numId="29">
    <w:abstractNumId w:val="12"/>
  </w:num>
  <w:num w:numId="30">
    <w:abstractNumId w:val="9"/>
  </w:num>
  <w:num w:numId="31">
    <w:abstractNumId w:val="29"/>
  </w:num>
  <w:num w:numId="32">
    <w:abstractNumId w:val="11"/>
  </w:num>
  <w:num w:numId="33">
    <w:abstractNumId w:val="25"/>
  </w:num>
  <w:num w:numId="34">
    <w:abstractNumId w:val="19"/>
  </w:num>
  <w:num w:numId="35">
    <w:abstractNumId w:val="28"/>
  </w:num>
  <w:num w:numId="36">
    <w:abstractNumId w:val="2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A4"/>
    <w:rsid w:val="00000D28"/>
    <w:rsid w:val="000054CA"/>
    <w:rsid w:val="000075C8"/>
    <w:rsid w:val="00011A4C"/>
    <w:rsid w:val="00014483"/>
    <w:rsid w:val="000200FA"/>
    <w:rsid w:val="0002124F"/>
    <w:rsid w:val="00022C16"/>
    <w:rsid w:val="00023563"/>
    <w:rsid w:val="00024A1A"/>
    <w:rsid w:val="00030684"/>
    <w:rsid w:val="00031752"/>
    <w:rsid w:val="00034E93"/>
    <w:rsid w:val="00035F15"/>
    <w:rsid w:val="000372D8"/>
    <w:rsid w:val="00037354"/>
    <w:rsid w:val="00040E3F"/>
    <w:rsid w:val="00042540"/>
    <w:rsid w:val="0004506E"/>
    <w:rsid w:val="000457E4"/>
    <w:rsid w:val="000464E7"/>
    <w:rsid w:val="000508B1"/>
    <w:rsid w:val="000538F1"/>
    <w:rsid w:val="00056E3A"/>
    <w:rsid w:val="000570ED"/>
    <w:rsid w:val="00057D15"/>
    <w:rsid w:val="000607BE"/>
    <w:rsid w:val="0006119A"/>
    <w:rsid w:val="00063427"/>
    <w:rsid w:val="00063488"/>
    <w:rsid w:val="00063AA8"/>
    <w:rsid w:val="00066892"/>
    <w:rsid w:val="00073194"/>
    <w:rsid w:val="00076EAF"/>
    <w:rsid w:val="00082439"/>
    <w:rsid w:val="00083FA4"/>
    <w:rsid w:val="00084E52"/>
    <w:rsid w:val="00085C30"/>
    <w:rsid w:val="00087129"/>
    <w:rsid w:val="00090E14"/>
    <w:rsid w:val="0009196B"/>
    <w:rsid w:val="00092A9D"/>
    <w:rsid w:val="000954FB"/>
    <w:rsid w:val="000955E2"/>
    <w:rsid w:val="000965B6"/>
    <w:rsid w:val="000A081A"/>
    <w:rsid w:val="000A2A46"/>
    <w:rsid w:val="000A4B69"/>
    <w:rsid w:val="000A6668"/>
    <w:rsid w:val="000B3E57"/>
    <w:rsid w:val="000B6045"/>
    <w:rsid w:val="000B6A90"/>
    <w:rsid w:val="000B7E6D"/>
    <w:rsid w:val="000C0BE0"/>
    <w:rsid w:val="000C3661"/>
    <w:rsid w:val="000C551C"/>
    <w:rsid w:val="000C7C94"/>
    <w:rsid w:val="000D20EA"/>
    <w:rsid w:val="000D33C1"/>
    <w:rsid w:val="000D3DC5"/>
    <w:rsid w:val="000D6EB4"/>
    <w:rsid w:val="000E20B7"/>
    <w:rsid w:val="000E7660"/>
    <w:rsid w:val="000E78FB"/>
    <w:rsid w:val="000F5D13"/>
    <w:rsid w:val="000F60F2"/>
    <w:rsid w:val="000F730C"/>
    <w:rsid w:val="001044AF"/>
    <w:rsid w:val="00106334"/>
    <w:rsid w:val="00106A12"/>
    <w:rsid w:val="0011169A"/>
    <w:rsid w:val="00123249"/>
    <w:rsid w:val="001416FC"/>
    <w:rsid w:val="00144E47"/>
    <w:rsid w:val="00147083"/>
    <w:rsid w:val="00152131"/>
    <w:rsid w:val="00156321"/>
    <w:rsid w:val="001638B4"/>
    <w:rsid w:val="001641D8"/>
    <w:rsid w:val="001649D9"/>
    <w:rsid w:val="001653BF"/>
    <w:rsid w:val="00166347"/>
    <w:rsid w:val="001703BF"/>
    <w:rsid w:val="00173569"/>
    <w:rsid w:val="001742C0"/>
    <w:rsid w:val="00182179"/>
    <w:rsid w:val="001828DF"/>
    <w:rsid w:val="0018447D"/>
    <w:rsid w:val="001922A7"/>
    <w:rsid w:val="001942B8"/>
    <w:rsid w:val="00196777"/>
    <w:rsid w:val="001970CD"/>
    <w:rsid w:val="00197E21"/>
    <w:rsid w:val="001A0516"/>
    <w:rsid w:val="001A4B92"/>
    <w:rsid w:val="001A4FE8"/>
    <w:rsid w:val="001B1ED6"/>
    <w:rsid w:val="001B27C1"/>
    <w:rsid w:val="001B563F"/>
    <w:rsid w:val="001C19E4"/>
    <w:rsid w:val="001C263A"/>
    <w:rsid w:val="001C31AF"/>
    <w:rsid w:val="001D0025"/>
    <w:rsid w:val="001D07CD"/>
    <w:rsid w:val="001D1427"/>
    <w:rsid w:val="001D453D"/>
    <w:rsid w:val="001D5392"/>
    <w:rsid w:val="001D56A9"/>
    <w:rsid w:val="001D6132"/>
    <w:rsid w:val="001E22B2"/>
    <w:rsid w:val="001E401D"/>
    <w:rsid w:val="001E454C"/>
    <w:rsid w:val="001E7B82"/>
    <w:rsid w:val="001F3488"/>
    <w:rsid w:val="001F354B"/>
    <w:rsid w:val="002037A4"/>
    <w:rsid w:val="00204F1A"/>
    <w:rsid w:val="00204F1F"/>
    <w:rsid w:val="0020667B"/>
    <w:rsid w:val="0021538E"/>
    <w:rsid w:val="002223BA"/>
    <w:rsid w:val="00227625"/>
    <w:rsid w:val="00227F16"/>
    <w:rsid w:val="0023066D"/>
    <w:rsid w:val="00233F44"/>
    <w:rsid w:val="00237C68"/>
    <w:rsid w:val="002525ED"/>
    <w:rsid w:val="00252E42"/>
    <w:rsid w:val="002652AC"/>
    <w:rsid w:val="00270A60"/>
    <w:rsid w:val="002751A1"/>
    <w:rsid w:val="00275638"/>
    <w:rsid w:val="0027601D"/>
    <w:rsid w:val="00281380"/>
    <w:rsid w:val="00287C53"/>
    <w:rsid w:val="002A01D4"/>
    <w:rsid w:val="002A299E"/>
    <w:rsid w:val="002A5AD2"/>
    <w:rsid w:val="002A6CC6"/>
    <w:rsid w:val="002B0559"/>
    <w:rsid w:val="002B12D9"/>
    <w:rsid w:val="002B201D"/>
    <w:rsid w:val="002C59FA"/>
    <w:rsid w:val="002D2ACE"/>
    <w:rsid w:val="002D3168"/>
    <w:rsid w:val="002D5A10"/>
    <w:rsid w:val="002D7616"/>
    <w:rsid w:val="002E0F77"/>
    <w:rsid w:val="002E1028"/>
    <w:rsid w:val="002E4AC3"/>
    <w:rsid w:val="002E5B1F"/>
    <w:rsid w:val="002E5F5D"/>
    <w:rsid w:val="002E6506"/>
    <w:rsid w:val="002F244C"/>
    <w:rsid w:val="002F40BE"/>
    <w:rsid w:val="002F4649"/>
    <w:rsid w:val="002F5700"/>
    <w:rsid w:val="002F6964"/>
    <w:rsid w:val="002F7FBD"/>
    <w:rsid w:val="003023AD"/>
    <w:rsid w:val="00311137"/>
    <w:rsid w:val="00313927"/>
    <w:rsid w:val="00314279"/>
    <w:rsid w:val="00315AB3"/>
    <w:rsid w:val="003301E9"/>
    <w:rsid w:val="003303AF"/>
    <w:rsid w:val="00331B57"/>
    <w:rsid w:val="00333186"/>
    <w:rsid w:val="00344086"/>
    <w:rsid w:val="0034459F"/>
    <w:rsid w:val="003446BC"/>
    <w:rsid w:val="00344B99"/>
    <w:rsid w:val="003520D5"/>
    <w:rsid w:val="00356B54"/>
    <w:rsid w:val="003602C0"/>
    <w:rsid w:val="0036726B"/>
    <w:rsid w:val="00370BE8"/>
    <w:rsid w:val="003742A7"/>
    <w:rsid w:val="003759BA"/>
    <w:rsid w:val="0038004C"/>
    <w:rsid w:val="00380BFA"/>
    <w:rsid w:val="00380DD2"/>
    <w:rsid w:val="00385EE5"/>
    <w:rsid w:val="003A15A6"/>
    <w:rsid w:val="003A30F4"/>
    <w:rsid w:val="003A3E89"/>
    <w:rsid w:val="003A75DC"/>
    <w:rsid w:val="003B1CAA"/>
    <w:rsid w:val="003B2F81"/>
    <w:rsid w:val="003B3E3A"/>
    <w:rsid w:val="003B54EB"/>
    <w:rsid w:val="003C0A01"/>
    <w:rsid w:val="003C1A51"/>
    <w:rsid w:val="003C219F"/>
    <w:rsid w:val="003C255D"/>
    <w:rsid w:val="003C352F"/>
    <w:rsid w:val="003C7D42"/>
    <w:rsid w:val="003D3E96"/>
    <w:rsid w:val="003D529A"/>
    <w:rsid w:val="003D7516"/>
    <w:rsid w:val="003E1796"/>
    <w:rsid w:val="003E1FB7"/>
    <w:rsid w:val="003E24A9"/>
    <w:rsid w:val="003E51CB"/>
    <w:rsid w:val="003E5E9E"/>
    <w:rsid w:val="003F2BAB"/>
    <w:rsid w:val="003F39C7"/>
    <w:rsid w:val="003F713D"/>
    <w:rsid w:val="003F7D3C"/>
    <w:rsid w:val="00403385"/>
    <w:rsid w:val="00403BA4"/>
    <w:rsid w:val="0040424F"/>
    <w:rsid w:val="0040468D"/>
    <w:rsid w:val="00404A4A"/>
    <w:rsid w:val="004071CB"/>
    <w:rsid w:val="00410693"/>
    <w:rsid w:val="0041396C"/>
    <w:rsid w:val="0041727C"/>
    <w:rsid w:val="00420A9C"/>
    <w:rsid w:val="00427A65"/>
    <w:rsid w:val="004335CC"/>
    <w:rsid w:val="004369AC"/>
    <w:rsid w:val="00436BE6"/>
    <w:rsid w:val="004378C8"/>
    <w:rsid w:val="00437F49"/>
    <w:rsid w:val="004459D0"/>
    <w:rsid w:val="00447A1E"/>
    <w:rsid w:val="00451509"/>
    <w:rsid w:val="00451B61"/>
    <w:rsid w:val="004623D6"/>
    <w:rsid w:val="00463DAF"/>
    <w:rsid w:val="004648AD"/>
    <w:rsid w:val="00464BD9"/>
    <w:rsid w:val="004652FA"/>
    <w:rsid w:val="00466D7D"/>
    <w:rsid w:val="004677BE"/>
    <w:rsid w:val="004706A0"/>
    <w:rsid w:val="004723DB"/>
    <w:rsid w:val="00472807"/>
    <w:rsid w:val="004744A5"/>
    <w:rsid w:val="00474F8A"/>
    <w:rsid w:val="0047522C"/>
    <w:rsid w:val="00481504"/>
    <w:rsid w:val="00490E61"/>
    <w:rsid w:val="0049154F"/>
    <w:rsid w:val="004A0509"/>
    <w:rsid w:val="004A09ED"/>
    <w:rsid w:val="004A1850"/>
    <w:rsid w:val="004A3A66"/>
    <w:rsid w:val="004B0A6D"/>
    <w:rsid w:val="004B0D52"/>
    <w:rsid w:val="004B49E9"/>
    <w:rsid w:val="004C0B51"/>
    <w:rsid w:val="004C63BA"/>
    <w:rsid w:val="004D4EAE"/>
    <w:rsid w:val="004E4CEF"/>
    <w:rsid w:val="004F3D71"/>
    <w:rsid w:val="00501770"/>
    <w:rsid w:val="005026EB"/>
    <w:rsid w:val="00505121"/>
    <w:rsid w:val="00510D83"/>
    <w:rsid w:val="00511483"/>
    <w:rsid w:val="005123A0"/>
    <w:rsid w:val="0051269E"/>
    <w:rsid w:val="00513DF2"/>
    <w:rsid w:val="005214C2"/>
    <w:rsid w:val="0052437B"/>
    <w:rsid w:val="00526993"/>
    <w:rsid w:val="00531607"/>
    <w:rsid w:val="005339D7"/>
    <w:rsid w:val="00534229"/>
    <w:rsid w:val="005356BC"/>
    <w:rsid w:val="005374EE"/>
    <w:rsid w:val="005412B1"/>
    <w:rsid w:val="005467A5"/>
    <w:rsid w:val="00550500"/>
    <w:rsid w:val="00550836"/>
    <w:rsid w:val="005515CF"/>
    <w:rsid w:val="00551A63"/>
    <w:rsid w:val="00561B16"/>
    <w:rsid w:val="00562644"/>
    <w:rsid w:val="005647A9"/>
    <w:rsid w:val="005657B8"/>
    <w:rsid w:val="005672EF"/>
    <w:rsid w:val="005740F6"/>
    <w:rsid w:val="0057611D"/>
    <w:rsid w:val="00576DF7"/>
    <w:rsid w:val="00577972"/>
    <w:rsid w:val="00580C6D"/>
    <w:rsid w:val="00581196"/>
    <w:rsid w:val="00583425"/>
    <w:rsid w:val="00591797"/>
    <w:rsid w:val="00592B75"/>
    <w:rsid w:val="00596F30"/>
    <w:rsid w:val="005A1D14"/>
    <w:rsid w:val="005A1E3A"/>
    <w:rsid w:val="005A29D3"/>
    <w:rsid w:val="005A5F99"/>
    <w:rsid w:val="005A6A8C"/>
    <w:rsid w:val="005B0A2F"/>
    <w:rsid w:val="005B0F92"/>
    <w:rsid w:val="005B49E0"/>
    <w:rsid w:val="005B5ED3"/>
    <w:rsid w:val="005C2208"/>
    <w:rsid w:val="005D1563"/>
    <w:rsid w:val="005D50FE"/>
    <w:rsid w:val="005E7F0A"/>
    <w:rsid w:val="005F0729"/>
    <w:rsid w:val="005F0DC6"/>
    <w:rsid w:val="005F7CB5"/>
    <w:rsid w:val="0060301B"/>
    <w:rsid w:val="006032A2"/>
    <w:rsid w:val="00617174"/>
    <w:rsid w:val="00617749"/>
    <w:rsid w:val="00621FF5"/>
    <w:rsid w:val="00623AC5"/>
    <w:rsid w:val="00625DCD"/>
    <w:rsid w:val="00627B48"/>
    <w:rsid w:val="00636C60"/>
    <w:rsid w:val="0063743F"/>
    <w:rsid w:val="006416BB"/>
    <w:rsid w:val="00645F41"/>
    <w:rsid w:val="006467EB"/>
    <w:rsid w:val="00655B09"/>
    <w:rsid w:val="006653A0"/>
    <w:rsid w:val="00666D00"/>
    <w:rsid w:val="00671C9F"/>
    <w:rsid w:val="00675A09"/>
    <w:rsid w:val="006779C3"/>
    <w:rsid w:val="00677C34"/>
    <w:rsid w:val="00683692"/>
    <w:rsid w:val="00685D87"/>
    <w:rsid w:val="00686F49"/>
    <w:rsid w:val="00691067"/>
    <w:rsid w:val="00691218"/>
    <w:rsid w:val="00691EEA"/>
    <w:rsid w:val="0069698F"/>
    <w:rsid w:val="006979DD"/>
    <w:rsid w:val="006A0AE6"/>
    <w:rsid w:val="006A2054"/>
    <w:rsid w:val="006A2BA4"/>
    <w:rsid w:val="006A623A"/>
    <w:rsid w:val="006B0F90"/>
    <w:rsid w:val="006B2C88"/>
    <w:rsid w:val="006B4327"/>
    <w:rsid w:val="006C01EE"/>
    <w:rsid w:val="006C25A7"/>
    <w:rsid w:val="006C59E3"/>
    <w:rsid w:val="006C5A2C"/>
    <w:rsid w:val="006C6B09"/>
    <w:rsid w:val="006D1A6C"/>
    <w:rsid w:val="006E1158"/>
    <w:rsid w:val="006E1DB9"/>
    <w:rsid w:val="006E3D3F"/>
    <w:rsid w:val="006E7262"/>
    <w:rsid w:val="006F4E07"/>
    <w:rsid w:val="006F7119"/>
    <w:rsid w:val="007023CC"/>
    <w:rsid w:val="00703CDA"/>
    <w:rsid w:val="00706000"/>
    <w:rsid w:val="00706776"/>
    <w:rsid w:val="00716149"/>
    <w:rsid w:val="00716DFD"/>
    <w:rsid w:val="007236BE"/>
    <w:rsid w:val="00730310"/>
    <w:rsid w:val="007307C0"/>
    <w:rsid w:val="007351C1"/>
    <w:rsid w:val="00740911"/>
    <w:rsid w:val="0074148D"/>
    <w:rsid w:val="00742874"/>
    <w:rsid w:val="00751914"/>
    <w:rsid w:val="00754176"/>
    <w:rsid w:val="00762CAD"/>
    <w:rsid w:val="007722A2"/>
    <w:rsid w:val="00774062"/>
    <w:rsid w:val="00775ED7"/>
    <w:rsid w:val="00784F66"/>
    <w:rsid w:val="00791408"/>
    <w:rsid w:val="007942A5"/>
    <w:rsid w:val="0079445B"/>
    <w:rsid w:val="007A17A0"/>
    <w:rsid w:val="007A2753"/>
    <w:rsid w:val="007A5AEC"/>
    <w:rsid w:val="007A6206"/>
    <w:rsid w:val="007B14B5"/>
    <w:rsid w:val="007B363E"/>
    <w:rsid w:val="007B430E"/>
    <w:rsid w:val="007B64E5"/>
    <w:rsid w:val="007C2494"/>
    <w:rsid w:val="007C44CF"/>
    <w:rsid w:val="007C46B9"/>
    <w:rsid w:val="007C492E"/>
    <w:rsid w:val="007C5606"/>
    <w:rsid w:val="007D1A3A"/>
    <w:rsid w:val="007D2AA7"/>
    <w:rsid w:val="007D562B"/>
    <w:rsid w:val="007E1495"/>
    <w:rsid w:val="007E295B"/>
    <w:rsid w:val="007E4248"/>
    <w:rsid w:val="007E658A"/>
    <w:rsid w:val="007F4E0F"/>
    <w:rsid w:val="007F5472"/>
    <w:rsid w:val="007F7302"/>
    <w:rsid w:val="00811E05"/>
    <w:rsid w:val="00813C20"/>
    <w:rsid w:val="00814C2D"/>
    <w:rsid w:val="008279B7"/>
    <w:rsid w:val="00831CBA"/>
    <w:rsid w:val="00833DBE"/>
    <w:rsid w:val="0084717A"/>
    <w:rsid w:val="00847EA4"/>
    <w:rsid w:val="00852293"/>
    <w:rsid w:val="00853429"/>
    <w:rsid w:val="00854051"/>
    <w:rsid w:val="0086729B"/>
    <w:rsid w:val="00870394"/>
    <w:rsid w:val="0087489B"/>
    <w:rsid w:val="00875EFF"/>
    <w:rsid w:val="00876448"/>
    <w:rsid w:val="00882C2E"/>
    <w:rsid w:val="008903C0"/>
    <w:rsid w:val="008911E2"/>
    <w:rsid w:val="00894F1C"/>
    <w:rsid w:val="0089681B"/>
    <w:rsid w:val="008A5A1E"/>
    <w:rsid w:val="008A686B"/>
    <w:rsid w:val="008B05D5"/>
    <w:rsid w:val="008B2BAA"/>
    <w:rsid w:val="008B390C"/>
    <w:rsid w:val="008B65D1"/>
    <w:rsid w:val="008B7427"/>
    <w:rsid w:val="008C231C"/>
    <w:rsid w:val="008C35FD"/>
    <w:rsid w:val="008C6A8E"/>
    <w:rsid w:val="008D1BD2"/>
    <w:rsid w:val="008D3D85"/>
    <w:rsid w:val="008D471F"/>
    <w:rsid w:val="008D5E5A"/>
    <w:rsid w:val="008E0118"/>
    <w:rsid w:val="008E0FA1"/>
    <w:rsid w:val="008F5C67"/>
    <w:rsid w:val="008F6946"/>
    <w:rsid w:val="009025C2"/>
    <w:rsid w:val="00906A7B"/>
    <w:rsid w:val="009157DD"/>
    <w:rsid w:val="00916981"/>
    <w:rsid w:val="0092121D"/>
    <w:rsid w:val="00936C84"/>
    <w:rsid w:val="00942A70"/>
    <w:rsid w:val="00942FF5"/>
    <w:rsid w:val="00943A3F"/>
    <w:rsid w:val="00952B40"/>
    <w:rsid w:val="009534AF"/>
    <w:rsid w:val="00953887"/>
    <w:rsid w:val="00954856"/>
    <w:rsid w:val="00954EE9"/>
    <w:rsid w:val="00957B75"/>
    <w:rsid w:val="009617DC"/>
    <w:rsid w:val="00962F09"/>
    <w:rsid w:val="009632EB"/>
    <w:rsid w:val="009673CB"/>
    <w:rsid w:val="00971F1A"/>
    <w:rsid w:val="009756B3"/>
    <w:rsid w:val="009807AB"/>
    <w:rsid w:val="009845A7"/>
    <w:rsid w:val="009858B8"/>
    <w:rsid w:val="009902FB"/>
    <w:rsid w:val="00992958"/>
    <w:rsid w:val="00995395"/>
    <w:rsid w:val="009956D4"/>
    <w:rsid w:val="00997C06"/>
    <w:rsid w:val="009B0729"/>
    <w:rsid w:val="009B233B"/>
    <w:rsid w:val="009B4BC0"/>
    <w:rsid w:val="009B7D9C"/>
    <w:rsid w:val="009D3037"/>
    <w:rsid w:val="009D4D51"/>
    <w:rsid w:val="009E0C85"/>
    <w:rsid w:val="009E3BED"/>
    <w:rsid w:val="009E48A7"/>
    <w:rsid w:val="009F3138"/>
    <w:rsid w:val="009F3B31"/>
    <w:rsid w:val="009F4194"/>
    <w:rsid w:val="009F46F5"/>
    <w:rsid w:val="009F52EE"/>
    <w:rsid w:val="009F714B"/>
    <w:rsid w:val="00A04674"/>
    <w:rsid w:val="00A05B08"/>
    <w:rsid w:val="00A14DF3"/>
    <w:rsid w:val="00A16F42"/>
    <w:rsid w:val="00A20BEC"/>
    <w:rsid w:val="00A222B2"/>
    <w:rsid w:val="00A2484C"/>
    <w:rsid w:val="00A302D0"/>
    <w:rsid w:val="00A40481"/>
    <w:rsid w:val="00A4084D"/>
    <w:rsid w:val="00A43CE4"/>
    <w:rsid w:val="00A4440E"/>
    <w:rsid w:val="00A50647"/>
    <w:rsid w:val="00A55A87"/>
    <w:rsid w:val="00A60890"/>
    <w:rsid w:val="00A62053"/>
    <w:rsid w:val="00A65F38"/>
    <w:rsid w:val="00A6780F"/>
    <w:rsid w:val="00A70E27"/>
    <w:rsid w:val="00A730C8"/>
    <w:rsid w:val="00A73439"/>
    <w:rsid w:val="00A840F5"/>
    <w:rsid w:val="00A84D6F"/>
    <w:rsid w:val="00A8573F"/>
    <w:rsid w:val="00A86890"/>
    <w:rsid w:val="00A8776F"/>
    <w:rsid w:val="00AA0F5B"/>
    <w:rsid w:val="00AA2208"/>
    <w:rsid w:val="00AA6066"/>
    <w:rsid w:val="00AA6090"/>
    <w:rsid w:val="00AA726E"/>
    <w:rsid w:val="00AA7C09"/>
    <w:rsid w:val="00AB136D"/>
    <w:rsid w:val="00AB1C3F"/>
    <w:rsid w:val="00AB2FCE"/>
    <w:rsid w:val="00AC0243"/>
    <w:rsid w:val="00AC70C1"/>
    <w:rsid w:val="00AD3E15"/>
    <w:rsid w:val="00AE3F3A"/>
    <w:rsid w:val="00AE42A1"/>
    <w:rsid w:val="00AE5959"/>
    <w:rsid w:val="00AE7C67"/>
    <w:rsid w:val="00AF2EE4"/>
    <w:rsid w:val="00AF7E48"/>
    <w:rsid w:val="00B05879"/>
    <w:rsid w:val="00B0589A"/>
    <w:rsid w:val="00B13AB2"/>
    <w:rsid w:val="00B15539"/>
    <w:rsid w:val="00B17832"/>
    <w:rsid w:val="00B20AE0"/>
    <w:rsid w:val="00B24A96"/>
    <w:rsid w:val="00B24E57"/>
    <w:rsid w:val="00B25C34"/>
    <w:rsid w:val="00B274A6"/>
    <w:rsid w:val="00B31B68"/>
    <w:rsid w:val="00B32DAD"/>
    <w:rsid w:val="00B332B4"/>
    <w:rsid w:val="00B37FFB"/>
    <w:rsid w:val="00B40085"/>
    <w:rsid w:val="00B43A52"/>
    <w:rsid w:val="00B43AD9"/>
    <w:rsid w:val="00B53874"/>
    <w:rsid w:val="00B5504E"/>
    <w:rsid w:val="00B55E7E"/>
    <w:rsid w:val="00B719D8"/>
    <w:rsid w:val="00B72402"/>
    <w:rsid w:val="00B75A5F"/>
    <w:rsid w:val="00B83518"/>
    <w:rsid w:val="00B83A4F"/>
    <w:rsid w:val="00B85A6C"/>
    <w:rsid w:val="00B8668F"/>
    <w:rsid w:val="00B8760C"/>
    <w:rsid w:val="00B90E6A"/>
    <w:rsid w:val="00B93848"/>
    <w:rsid w:val="00B95717"/>
    <w:rsid w:val="00BA1979"/>
    <w:rsid w:val="00BA204F"/>
    <w:rsid w:val="00BA2C4F"/>
    <w:rsid w:val="00BA3715"/>
    <w:rsid w:val="00BB0E7C"/>
    <w:rsid w:val="00BB5B12"/>
    <w:rsid w:val="00BB6601"/>
    <w:rsid w:val="00BC4600"/>
    <w:rsid w:val="00BC49B9"/>
    <w:rsid w:val="00BC580F"/>
    <w:rsid w:val="00BC7469"/>
    <w:rsid w:val="00BD375B"/>
    <w:rsid w:val="00BE1057"/>
    <w:rsid w:val="00BE1BFA"/>
    <w:rsid w:val="00BE2495"/>
    <w:rsid w:val="00BE67D0"/>
    <w:rsid w:val="00BE6DC7"/>
    <w:rsid w:val="00BF240A"/>
    <w:rsid w:val="00C00A27"/>
    <w:rsid w:val="00C0360F"/>
    <w:rsid w:val="00C04FDE"/>
    <w:rsid w:val="00C10A4D"/>
    <w:rsid w:val="00C12CE4"/>
    <w:rsid w:val="00C1306D"/>
    <w:rsid w:val="00C16896"/>
    <w:rsid w:val="00C231AC"/>
    <w:rsid w:val="00C2415F"/>
    <w:rsid w:val="00C27CB7"/>
    <w:rsid w:val="00C3268F"/>
    <w:rsid w:val="00C347AF"/>
    <w:rsid w:val="00C35133"/>
    <w:rsid w:val="00C3673D"/>
    <w:rsid w:val="00C36E41"/>
    <w:rsid w:val="00C41CA5"/>
    <w:rsid w:val="00C42503"/>
    <w:rsid w:val="00C46523"/>
    <w:rsid w:val="00C46FC1"/>
    <w:rsid w:val="00C50127"/>
    <w:rsid w:val="00C572F3"/>
    <w:rsid w:val="00C62445"/>
    <w:rsid w:val="00C6425F"/>
    <w:rsid w:val="00C66623"/>
    <w:rsid w:val="00C672B5"/>
    <w:rsid w:val="00C74E00"/>
    <w:rsid w:val="00C75251"/>
    <w:rsid w:val="00C75BA5"/>
    <w:rsid w:val="00C84225"/>
    <w:rsid w:val="00C84569"/>
    <w:rsid w:val="00C92089"/>
    <w:rsid w:val="00C94837"/>
    <w:rsid w:val="00C965CC"/>
    <w:rsid w:val="00CA0F30"/>
    <w:rsid w:val="00CA5D0B"/>
    <w:rsid w:val="00CA604A"/>
    <w:rsid w:val="00CB44A8"/>
    <w:rsid w:val="00CB49DF"/>
    <w:rsid w:val="00CC03F5"/>
    <w:rsid w:val="00CC56D5"/>
    <w:rsid w:val="00CD6CB2"/>
    <w:rsid w:val="00CE069F"/>
    <w:rsid w:val="00CE102C"/>
    <w:rsid w:val="00CE37FE"/>
    <w:rsid w:val="00CF206F"/>
    <w:rsid w:val="00CF2D2B"/>
    <w:rsid w:val="00D03F27"/>
    <w:rsid w:val="00D06316"/>
    <w:rsid w:val="00D06A02"/>
    <w:rsid w:val="00D07E29"/>
    <w:rsid w:val="00D13ED1"/>
    <w:rsid w:val="00D14192"/>
    <w:rsid w:val="00D21899"/>
    <w:rsid w:val="00D21C1D"/>
    <w:rsid w:val="00D25321"/>
    <w:rsid w:val="00D32163"/>
    <w:rsid w:val="00D34C7B"/>
    <w:rsid w:val="00D42E89"/>
    <w:rsid w:val="00D42EEB"/>
    <w:rsid w:val="00D43491"/>
    <w:rsid w:val="00D455AB"/>
    <w:rsid w:val="00D46B67"/>
    <w:rsid w:val="00D47FDE"/>
    <w:rsid w:val="00D572AC"/>
    <w:rsid w:val="00D617A5"/>
    <w:rsid w:val="00D73370"/>
    <w:rsid w:val="00D73E22"/>
    <w:rsid w:val="00D74E79"/>
    <w:rsid w:val="00D83AC1"/>
    <w:rsid w:val="00D91342"/>
    <w:rsid w:val="00D94E38"/>
    <w:rsid w:val="00D95867"/>
    <w:rsid w:val="00D9596A"/>
    <w:rsid w:val="00DA1A09"/>
    <w:rsid w:val="00DA3BA3"/>
    <w:rsid w:val="00DA3D45"/>
    <w:rsid w:val="00DA49A3"/>
    <w:rsid w:val="00DA6554"/>
    <w:rsid w:val="00DB78BB"/>
    <w:rsid w:val="00DC091F"/>
    <w:rsid w:val="00DC0BE0"/>
    <w:rsid w:val="00DC3D0B"/>
    <w:rsid w:val="00DC60B5"/>
    <w:rsid w:val="00DD4786"/>
    <w:rsid w:val="00DE1D30"/>
    <w:rsid w:val="00DE3F7F"/>
    <w:rsid w:val="00DE48B3"/>
    <w:rsid w:val="00DE52D7"/>
    <w:rsid w:val="00DF01C9"/>
    <w:rsid w:val="00DF2B02"/>
    <w:rsid w:val="00DF5C68"/>
    <w:rsid w:val="00E05149"/>
    <w:rsid w:val="00E12856"/>
    <w:rsid w:val="00E12B8D"/>
    <w:rsid w:val="00E13DDD"/>
    <w:rsid w:val="00E1657D"/>
    <w:rsid w:val="00E20495"/>
    <w:rsid w:val="00E23711"/>
    <w:rsid w:val="00E23825"/>
    <w:rsid w:val="00E26113"/>
    <w:rsid w:val="00E32E31"/>
    <w:rsid w:val="00E337F4"/>
    <w:rsid w:val="00E4326C"/>
    <w:rsid w:val="00E46B76"/>
    <w:rsid w:val="00E46F92"/>
    <w:rsid w:val="00E47D37"/>
    <w:rsid w:val="00E505C4"/>
    <w:rsid w:val="00E57055"/>
    <w:rsid w:val="00E620D4"/>
    <w:rsid w:val="00E66ED4"/>
    <w:rsid w:val="00E71053"/>
    <w:rsid w:val="00E75661"/>
    <w:rsid w:val="00E75BCD"/>
    <w:rsid w:val="00E7665F"/>
    <w:rsid w:val="00E8088D"/>
    <w:rsid w:val="00E84D7F"/>
    <w:rsid w:val="00E853AE"/>
    <w:rsid w:val="00E927E8"/>
    <w:rsid w:val="00E928D0"/>
    <w:rsid w:val="00E97F6F"/>
    <w:rsid w:val="00EA79F8"/>
    <w:rsid w:val="00EB0530"/>
    <w:rsid w:val="00EB23D2"/>
    <w:rsid w:val="00EB45C6"/>
    <w:rsid w:val="00EB795A"/>
    <w:rsid w:val="00EC0666"/>
    <w:rsid w:val="00EC5D57"/>
    <w:rsid w:val="00EC6100"/>
    <w:rsid w:val="00EC6718"/>
    <w:rsid w:val="00EC74E9"/>
    <w:rsid w:val="00EC7792"/>
    <w:rsid w:val="00ED2242"/>
    <w:rsid w:val="00ED26A0"/>
    <w:rsid w:val="00ED697D"/>
    <w:rsid w:val="00EE3563"/>
    <w:rsid w:val="00EE7554"/>
    <w:rsid w:val="00EE75A4"/>
    <w:rsid w:val="00EF1405"/>
    <w:rsid w:val="00EF1466"/>
    <w:rsid w:val="00EF6443"/>
    <w:rsid w:val="00F10472"/>
    <w:rsid w:val="00F12785"/>
    <w:rsid w:val="00F13BD2"/>
    <w:rsid w:val="00F13D50"/>
    <w:rsid w:val="00F33D01"/>
    <w:rsid w:val="00F40D17"/>
    <w:rsid w:val="00F444BB"/>
    <w:rsid w:val="00F50CB6"/>
    <w:rsid w:val="00F65C9E"/>
    <w:rsid w:val="00F7068F"/>
    <w:rsid w:val="00F713A5"/>
    <w:rsid w:val="00F71AE9"/>
    <w:rsid w:val="00F72521"/>
    <w:rsid w:val="00F766B0"/>
    <w:rsid w:val="00F9027C"/>
    <w:rsid w:val="00F928B5"/>
    <w:rsid w:val="00F93385"/>
    <w:rsid w:val="00F94AF9"/>
    <w:rsid w:val="00FA34DD"/>
    <w:rsid w:val="00FA3C22"/>
    <w:rsid w:val="00FA4790"/>
    <w:rsid w:val="00FA607B"/>
    <w:rsid w:val="00FA609F"/>
    <w:rsid w:val="00FA7540"/>
    <w:rsid w:val="00FB0C02"/>
    <w:rsid w:val="00FB1B3B"/>
    <w:rsid w:val="00FB2E59"/>
    <w:rsid w:val="00FB35E4"/>
    <w:rsid w:val="00FC41DE"/>
    <w:rsid w:val="00FC76CF"/>
    <w:rsid w:val="00FC77FE"/>
    <w:rsid w:val="00FD30E6"/>
    <w:rsid w:val="00FE0B11"/>
    <w:rsid w:val="00FE5474"/>
    <w:rsid w:val="00FF177B"/>
    <w:rsid w:val="00FF49B7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A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83FA4"/>
  </w:style>
  <w:style w:type="paragraph" w:styleId="a3">
    <w:name w:val="Normal (Web)"/>
    <w:basedOn w:val="a"/>
    <w:uiPriority w:val="99"/>
    <w:unhideWhenUsed/>
    <w:rsid w:val="00083FA4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3F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83FA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nhideWhenUsed/>
    <w:rsid w:val="00083FA4"/>
    <w:pPr>
      <w:tabs>
        <w:tab w:val="center" w:pos="4677"/>
        <w:tab w:val="right" w:pos="9355"/>
      </w:tabs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link w:val="a6"/>
    <w:rsid w:val="00083FA4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a9"/>
    <w:semiHidden/>
    <w:unhideWhenUsed/>
    <w:rsid w:val="00083FA4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83FA4"/>
    <w:rPr>
      <w:rFonts w:ascii="Calibri" w:eastAsia="Calibri" w:hAnsi="Calibri" w:cs="Calibri"/>
      <w:lang w:eastAsia="ar-SA"/>
    </w:rPr>
  </w:style>
  <w:style w:type="paragraph" w:styleId="aa">
    <w:name w:val="List"/>
    <w:basedOn w:val="a8"/>
    <w:semiHidden/>
    <w:unhideWhenUsed/>
    <w:rsid w:val="00083FA4"/>
    <w:rPr>
      <w:rFonts w:cs="Tahoma"/>
    </w:rPr>
  </w:style>
  <w:style w:type="paragraph" w:styleId="ab">
    <w:name w:val="Subtitle"/>
    <w:basedOn w:val="a"/>
    <w:next w:val="a"/>
    <w:link w:val="ac"/>
    <w:qFormat/>
    <w:rsid w:val="00083F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083F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083FA4"/>
    <w:pPr>
      <w:spacing w:after="120"/>
      <w:ind w:left="283"/>
    </w:pPr>
    <w:rPr>
      <w:rFonts w:ascii="Calibri" w:eastAsia="Calibri" w:hAnsi="Calibri" w:cs="Times New Roman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83FA4"/>
    <w:rPr>
      <w:rFonts w:ascii="Calibri" w:eastAsia="Calibri" w:hAnsi="Calibri" w:cs="Times New Roman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af1">
    <w:name w:val="No Spacing"/>
    <w:uiPriority w:val="1"/>
    <w:qFormat/>
    <w:rsid w:val="00083FA4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083F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3">
    <w:name w:val="Заголовок"/>
    <w:basedOn w:val="a"/>
    <w:next w:val="a8"/>
    <w:rsid w:val="00083FA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7">
    <w:name w:val="Название7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6">
    <w:name w:val="Название6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5">
    <w:name w:val="Название5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4">
    <w:name w:val="Название4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3">
    <w:name w:val="Название3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2">
    <w:name w:val="Название2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12">
    <w:name w:val="Название1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af4">
    <w:name w:val="Содержимое таблицы"/>
    <w:basedOn w:val="a"/>
    <w:rsid w:val="00083FA4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5">
    <w:name w:val="Заголовок таблицы"/>
    <w:basedOn w:val="af4"/>
    <w:rsid w:val="00083FA4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083FA4"/>
  </w:style>
  <w:style w:type="paragraph" w:customStyle="1" w:styleId="af7">
    <w:name w:val="Комментарий"/>
    <w:basedOn w:val="a"/>
    <w:next w:val="a"/>
    <w:uiPriority w:val="99"/>
    <w:rsid w:val="00083FA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083F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1z0">
    <w:name w:val="WW8Num1z0"/>
    <w:rsid w:val="00083FA4"/>
    <w:rPr>
      <w:rFonts w:ascii="Symbol" w:hAnsi="Symbol" w:hint="default"/>
    </w:rPr>
  </w:style>
  <w:style w:type="character" w:customStyle="1" w:styleId="WW8Num2z0">
    <w:name w:val="WW8Num2z0"/>
    <w:rsid w:val="00083FA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083FA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083FA4"/>
    <w:rPr>
      <w:rFonts w:ascii="Times New Roman" w:hAnsi="Times New Roman" w:cs="Times New Roman" w:hint="default"/>
    </w:rPr>
  </w:style>
  <w:style w:type="character" w:customStyle="1" w:styleId="WW8Num5z0">
    <w:name w:val="WW8Num5z0"/>
    <w:rsid w:val="00083FA4"/>
    <w:rPr>
      <w:rFonts w:ascii="Times New Roman" w:eastAsia="Calibri" w:hAnsi="Times New Roman" w:cs="Times New Roman" w:hint="default"/>
    </w:rPr>
  </w:style>
  <w:style w:type="character" w:customStyle="1" w:styleId="WW8Num6z0">
    <w:name w:val="WW8Num6z0"/>
    <w:rsid w:val="00083FA4"/>
    <w:rPr>
      <w:rFonts w:ascii="Times New Roman" w:eastAsia="Calibri" w:hAnsi="Times New Roman" w:cs="Times New Roman" w:hint="default"/>
    </w:rPr>
  </w:style>
  <w:style w:type="character" w:customStyle="1" w:styleId="Absatz-Standardschriftart">
    <w:name w:val="Absatz-Standardschriftart"/>
    <w:rsid w:val="00083FA4"/>
  </w:style>
  <w:style w:type="character" w:customStyle="1" w:styleId="WW8Num6z1">
    <w:name w:val="WW8Num6z1"/>
    <w:rsid w:val="00083FA4"/>
    <w:rPr>
      <w:rFonts w:ascii="Courier New" w:hAnsi="Courier New" w:cs="Courier New" w:hint="default"/>
    </w:rPr>
  </w:style>
  <w:style w:type="character" w:customStyle="1" w:styleId="WW8Num6z2">
    <w:name w:val="WW8Num6z2"/>
    <w:rsid w:val="00083FA4"/>
    <w:rPr>
      <w:rFonts w:ascii="Wingdings" w:hAnsi="Wingdings" w:hint="default"/>
    </w:rPr>
  </w:style>
  <w:style w:type="character" w:customStyle="1" w:styleId="WW8Num6z3">
    <w:name w:val="WW8Num6z3"/>
    <w:rsid w:val="00083FA4"/>
    <w:rPr>
      <w:rFonts w:ascii="Symbol" w:hAnsi="Symbol" w:hint="default"/>
    </w:rPr>
  </w:style>
  <w:style w:type="character" w:customStyle="1" w:styleId="71">
    <w:name w:val="Основной шрифт абзаца7"/>
    <w:rsid w:val="00083FA4"/>
  </w:style>
  <w:style w:type="character" w:customStyle="1" w:styleId="WW8Num5z1">
    <w:name w:val="WW8Num5z1"/>
    <w:rsid w:val="00083FA4"/>
    <w:rPr>
      <w:rFonts w:ascii="Courier New" w:hAnsi="Courier New" w:cs="Courier New" w:hint="default"/>
    </w:rPr>
  </w:style>
  <w:style w:type="character" w:customStyle="1" w:styleId="WW8Num5z2">
    <w:name w:val="WW8Num5z2"/>
    <w:rsid w:val="00083FA4"/>
    <w:rPr>
      <w:rFonts w:ascii="Wingdings" w:hAnsi="Wingdings" w:hint="default"/>
    </w:rPr>
  </w:style>
  <w:style w:type="character" w:customStyle="1" w:styleId="WW8Num5z3">
    <w:name w:val="WW8Num5z3"/>
    <w:rsid w:val="00083FA4"/>
    <w:rPr>
      <w:rFonts w:ascii="Symbol" w:hAnsi="Symbol" w:hint="default"/>
    </w:rPr>
  </w:style>
  <w:style w:type="character" w:customStyle="1" w:styleId="61">
    <w:name w:val="Основной шрифт абзаца6"/>
    <w:rsid w:val="00083FA4"/>
  </w:style>
  <w:style w:type="character" w:customStyle="1" w:styleId="51">
    <w:name w:val="Основной шрифт абзаца5"/>
    <w:rsid w:val="00083FA4"/>
  </w:style>
  <w:style w:type="character" w:customStyle="1" w:styleId="41">
    <w:name w:val="Основной шрифт абзаца4"/>
    <w:rsid w:val="00083FA4"/>
  </w:style>
  <w:style w:type="character" w:customStyle="1" w:styleId="WW-Absatz-Standardschriftart">
    <w:name w:val="WW-Absatz-Standardschriftart"/>
    <w:rsid w:val="00083FA4"/>
  </w:style>
  <w:style w:type="character" w:customStyle="1" w:styleId="WW-Absatz-Standardschriftart1">
    <w:name w:val="WW-Absatz-Standardschriftart1"/>
    <w:rsid w:val="00083FA4"/>
  </w:style>
  <w:style w:type="character" w:customStyle="1" w:styleId="WW-Absatz-Standardschriftart11">
    <w:name w:val="WW-Absatz-Standardschriftart11"/>
    <w:rsid w:val="00083FA4"/>
  </w:style>
  <w:style w:type="character" w:customStyle="1" w:styleId="WW-Absatz-Standardschriftart111">
    <w:name w:val="WW-Absatz-Standardschriftart111"/>
    <w:rsid w:val="00083FA4"/>
  </w:style>
  <w:style w:type="character" w:customStyle="1" w:styleId="WW-Absatz-Standardschriftart1111">
    <w:name w:val="WW-Absatz-Standardschriftart1111"/>
    <w:rsid w:val="00083FA4"/>
  </w:style>
  <w:style w:type="character" w:customStyle="1" w:styleId="31">
    <w:name w:val="Основной шрифт абзаца3"/>
    <w:rsid w:val="00083FA4"/>
  </w:style>
  <w:style w:type="character" w:customStyle="1" w:styleId="WW8Num1z1">
    <w:name w:val="WW8Num1z1"/>
    <w:rsid w:val="00083FA4"/>
    <w:rPr>
      <w:rFonts w:ascii="Courier New" w:hAnsi="Courier New" w:cs="Courier New" w:hint="default"/>
    </w:rPr>
  </w:style>
  <w:style w:type="character" w:customStyle="1" w:styleId="WW8Num1z2">
    <w:name w:val="WW8Num1z2"/>
    <w:rsid w:val="00083FA4"/>
    <w:rPr>
      <w:rFonts w:ascii="Wingdings" w:hAnsi="Wingdings" w:hint="default"/>
    </w:rPr>
  </w:style>
  <w:style w:type="character" w:customStyle="1" w:styleId="21">
    <w:name w:val="Основной шрифт абзаца2"/>
    <w:rsid w:val="00083FA4"/>
  </w:style>
  <w:style w:type="character" w:customStyle="1" w:styleId="14">
    <w:name w:val="Основной шрифт абзаца1"/>
    <w:rsid w:val="00083FA4"/>
  </w:style>
  <w:style w:type="character" w:customStyle="1" w:styleId="af8">
    <w:name w:val="Маркеры списка"/>
    <w:rsid w:val="00083FA4"/>
    <w:rPr>
      <w:rFonts w:ascii="StarSymbol" w:eastAsia="StarSymbol" w:hAnsi="StarSymbol" w:cs="StarSymbol" w:hint="eastAsia"/>
      <w:sz w:val="18"/>
      <w:szCs w:val="18"/>
    </w:rPr>
  </w:style>
  <w:style w:type="paragraph" w:styleId="af9">
    <w:name w:val="Title"/>
    <w:basedOn w:val="a"/>
    <w:next w:val="a"/>
    <w:link w:val="afa"/>
    <w:qFormat/>
    <w:rsid w:val="00083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083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b">
    <w:name w:val="Table Grid"/>
    <w:basedOn w:val="a1"/>
    <w:uiPriority w:val="59"/>
    <w:rsid w:val="0008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083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083FA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21"/>
    <w:semiHidden/>
    <w:rsid w:val="00F72521"/>
  </w:style>
  <w:style w:type="numbering" w:customStyle="1" w:styleId="110">
    <w:name w:val="Нет списка11"/>
    <w:next w:val="a2"/>
    <w:uiPriority w:val="99"/>
    <w:semiHidden/>
    <w:unhideWhenUsed/>
    <w:rsid w:val="00F72521"/>
  </w:style>
  <w:style w:type="table" w:customStyle="1" w:styleId="410">
    <w:name w:val="Сетка таблицы41"/>
    <w:basedOn w:val="a1"/>
    <w:next w:val="afb"/>
    <w:rsid w:val="00F7252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A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83FA4"/>
  </w:style>
  <w:style w:type="paragraph" w:styleId="a3">
    <w:name w:val="Normal (Web)"/>
    <w:basedOn w:val="a"/>
    <w:uiPriority w:val="99"/>
    <w:unhideWhenUsed/>
    <w:rsid w:val="00083FA4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3F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83FA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nhideWhenUsed/>
    <w:rsid w:val="00083FA4"/>
    <w:pPr>
      <w:tabs>
        <w:tab w:val="center" w:pos="4677"/>
        <w:tab w:val="right" w:pos="9355"/>
      </w:tabs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link w:val="a6"/>
    <w:rsid w:val="00083FA4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a9"/>
    <w:semiHidden/>
    <w:unhideWhenUsed/>
    <w:rsid w:val="00083FA4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83FA4"/>
    <w:rPr>
      <w:rFonts w:ascii="Calibri" w:eastAsia="Calibri" w:hAnsi="Calibri" w:cs="Calibri"/>
      <w:lang w:eastAsia="ar-SA"/>
    </w:rPr>
  </w:style>
  <w:style w:type="paragraph" w:styleId="aa">
    <w:name w:val="List"/>
    <w:basedOn w:val="a8"/>
    <w:semiHidden/>
    <w:unhideWhenUsed/>
    <w:rsid w:val="00083FA4"/>
    <w:rPr>
      <w:rFonts w:cs="Tahoma"/>
    </w:rPr>
  </w:style>
  <w:style w:type="paragraph" w:styleId="ab">
    <w:name w:val="Subtitle"/>
    <w:basedOn w:val="a"/>
    <w:next w:val="a"/>
    <w:link w:val="ac"/>
    <w:qFormat/>
    <w:rsid w:val="00083F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083F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083FA4"/>
    <w:pPr>
      <w:spacing w:after="120"/>
      <w:ind w:left="283"/>
    </w:pPr>
    <w:rPr>
      <w:rFonts w:ascii="Calibri" w:eastAsia="Calibri" w:hAnsi="Calibri" w:cs="Times New Roman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83FA4"/>
    <w:rPr>
      <w:rFonts w:ascii="Calibri" w:eastAsia="Calibri" w:hAnsi="Calibri" w:cs="Times New Roman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af1">
    <w:name w:val="No Spacing"/>
    <w:uiPriority w:val="1"/>
    <w:qFormat/>
    <w:rsid w:val="00083FA4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083F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3">
    <w:name w:val="Заголовок"/>
    <w:basedOn w:val="a"/>
    <w:next w:val="a8"/>
    <w:rsid w:val="00083FA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7">
    <w:name w:val="Название7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6">
    <w:name w:val="Название6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5">
    <w:name w:val="Название5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4">
    <w:name w:val="Название4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3">
    <w:name w:val="Название3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2">
    <w:name w:val="Название2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12">
    <w:name w:val="Название1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af4">
    <w:name w:val="Содержимое таблицы"/>
    <w:basedOn w:val="a"/>
    <w:rsid w:val="00083FA4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5">
    <w:name w:val="Заголовок таблицы"/>
    <w:basedOn w:val="af4"/>
    <w:rsid w:val="00083FA4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083FA4"/>
  </w:style>
  <w:style w:type="paragraph" w:customStyle="1" w:styleId="af7">
    <w:name w:val="Комментарий"/>
    <w:basedOn w:val="a"/>
    <w:next w:val="a"/>
    <w:uiPriority w:val="99"/>
    <w:rsid w:val="00083FA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083F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1z0">
    <w:name w:val="WW8Num1z0"/>
    <w:rsid w:val="00083FA4"/>
    <w:rPr>
      <w:rFonts w:ascii="Symbol" w:hAnsi="Symbol" w:hint="default"/>
    </w:rPr>
  </w:style>
  <w:style w:type="character" w:customStyle="1" w:styleId="WW8Num2z0">
    <w:name w:val="WW8Num2z0"/>
    <w:rsid w:val="00083FA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083FA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083FA4"/>
    <w:rPr>
      <w:rFonts w:ascii="Times New Roman" w:hAnsi="Times New Roman" w:cs="Times New Roman" w:hint="default"/>
    </w:rPr>
  </w:style>
  <w:style w:type="character" w:customStyle="1" w:styleId="WW8Num5z0">
    <w:name w:val="WW8Num5z0"/>
    <w:rsid w:val="00083FA4"/>
    <w:rPr>
      <w:rFonts w:ascii="Times New Roman" w:eastAsia="Calibri" w:hAnsi="Times New Roman" w:cs="Times New Roman" w:hint="default"/>
    </w:rPr>
  </w:style>
  <w:style w:type="character" w:customStyle="1" w:styleId="WW8Num6z0">
    <w:name w:val="WW8Num6z0"/>
    <w:rsid w:val="00083FA4"/>
    <w:rPr>
      <w:rFonts w:ascii="Times New Roman" w:eastAsia="Calibri" w:hAnsi="Times New Roman" w:cs="Times New Roman" w:hint="default"/>
    </w:rPr>
  </w:style>
  <w:style w:type="character" w:customStyle="1" w:styleId="Absatz-Standardschriftart">
    <w:name w:val="Absatz-Standardschriftart"/>
    <w:rsid w:val="00083FA4"/>
  </w:style>
  <w:style w:type="character" w:customStyle="1" w:styleId="WW8Num6z1">
    <w:name w:val="WW8Num6z1"/>
    <w:rsid w:val="00083FA4"/>
    <w:rPr>
      <w:rFonts w:ascii="Courier New" w:hAnsi="Courier New" w:cs="Courier New" w:hint="default"/>
    </w:rPr>
  </w:style>
  <w:style w:type="character" w:customStyle="1" w:styleId="WW8Num6z2">
    <w:name w:val="WW8Num6z2"/>
    <w:rsid w:val="00083FA4"/>
    <w:rPr>
      <w:rFonts w:ascii="Wingdings" w:hAnsi="Wingdings" w:hint="default"/>
    </w:rPr>
  </w:style>
  <w:style w:type="character" w:customStyle="1" w:styleId="WW8Num6z3">
    <w:name w:val="WW8Num6z3"/>
    <w:rsid w:val="00083FA4"/>
    <w:rPr>
      <w:rFonts w:ascii="Symbol" w:hAnsi="Symbol" w:hint="default"/>
    </w:rPr>
  </w:style>
  <w:style w:type="character" w:customStyle="1" w:styleId="71">
    <w:name w:val="Основной шрифт абзаца7"/>
    <w:rsid w:val="00083FA4"/>
  </w:style>
  <w:style w:type="character" w:customStyle="1" w:styleId="WW8Num5z1">
    <w:name w:val="WW8Num5z1"/>
    <w:rsid w:val="00083FA4"/>
    <w:rPr>
      <w:rFonts w:ascii="Courier New" w:hAnsi="Courier New" w:cs="Courier New" w:hint="default"/>
    </w:rPr>
  </w:style>
  <w:style w:type="character" w:customStyle="1" w:styleId="WW8Num5z2">
    <w:name w:val="WW8Num5z2"/>
    <w:rsid w:val="00083FA4"/>
    <w:rPr>
      <w:rFonts w:ascii="Wingdings" w:hAnsi="Wingdings" w:hint="default"/>
    </w:rPr>
  </w:style>
  <w:style w:type="character" w:customStyle="1" w:styleId="WW8Num5z3">
    <w:name w:val="WW8Num5z3"/>
    <w:rsid w:val="00083FA4"/>
    <w:rPr>
      <w:rFonts w:ascii="Symbol" w:hAnsi="Symbol" w:hint="default"/>
    </w:rPr>
  </w:style>
  <w:style w:type="character" w:customStyle="1" w:styleId="61">
    <w:name w:val="Основной шрифт абзаца6"/>
    <w:rsid w:val="00083FA4"/>
  </w:style>
  <w:style w:type="character" w:customStyle="1" w:styleId="51">
    <w:name w:val="Основной шрифт абзаца5"/>
    <w:rsid w:val="00083FA4"/>
  </w:style>
  <w:style w:type="character" w:customStyle="1" w:styleId="41">
    <w:name w:val="Основной шрифт абзаца4"/>
    <w:rsid w:val="00083FA4"/>
  </w:style>
  <w:style w:type="character" w:customStyle="1" w:styleId="WW-Absatz-Standardschriftart">
    <w:name w:val="WW-Absatz-Standardschriftart"/>
    <w:rsid w:val="00083FA4"/>
  </w:style>
  <w:style w:type="character" w:customStyle="1" w:styleId="WW-Absatz-Standardschriftart1">
    <w:name w:val="WW-Absatz-Standardschriftart1"/>
    <w:rsid w:val="00083FA4"/>
  </w:style>
  <w:style w:type="character" w:customStyle="1" w:styleId="WW-Absatz-Standardschriftart11">
    <w:name w:val="WW-Absatz-Standardschriftart11"/>
    <w:rsid w:val="00083FA4"/>
  </w:style>
  <w:style w:type="character" w:customStyle="1" w:styleId="WW-Absatz-Standardschriftart111">
    <w:name w:val="WW-Absatz-Standardschriftart111"/>
    <w:rsid w:val="00083FA4"/>
  </w:style>
  <w:style w:type="character" w:customStyle="1" w:styleId="WW-Absatz-Standardschriftart1111">
    <w:name w:val="WW-Absatz-Standardschriftart1111"/>
    <w:rsid w:val="00083FA4"/>
  </w:style>
  <w:style w:type="character" w:customStyle="1" w:styleId="31">
    <w:name w:val="Основной шрифт абзаца3"/>
    <w:rsid w:val="00083FA4"/>
  </w:style>
  <w:style w:type="character" w:customStyle="1" w:styleId="WW8Num1z1">
    <w:name w:val="WW8Num1z1"/>
    <w:rsid w:val="00083FA4"/>
    <w:rPr>
      <w:rFonts w:ascii="Courier New" w:hAnsi="Courier New" w:cs="Courier New" w:hint="default"/>
    </w:rPr>
  </w:style>
  <w:style w:type="character" w:customStyle="1" w:styleId="WW8Num1z2">
    <w:name w:val="WW8Num1z2"/>
    <w:rsid w:val="00083FA4"/>
    <w:rPr>
      <w:rFonts w:ascii="Wingdings" w:hAnsi="Wingdings" w:hint="default"/>
    </w:rPr>
  </w:style>
  <w:style w:type="character" w:customStyle="1" w:styleId="21">
    <w:name w:val="Основной шрифт абзаца2"/>
    <w:rsid w:val="00083FA4"/>
  </w:style>
  <w:style w:type="character" w:customStyle="1" w:styleId="14">
    <w:name w:val="Основной шрифт абзаца1"/>
    <w:rsid w:val="00083FA4"/>
  </w:style>
  <w:style w:type="character" w:customStyle="1" w:styleId="af8">
    <w:name w:val="Маркеры списка"/>
    <w:rsid w:val="00083FA4"/>
    <w:rPr>
      <w:rFonts w:ascii="StarSymbol" w:eastAsia="StarSymbol" w:hAnsi="StarSymbol" w:cs="StarSymbol" w:hint="eastAsia"/>
      <w:sz w:val="18"/>
      <w:szCs w:val="18"/>
    </w:rPr>
  </w:style>
  <w:style w:type="paragraph" w:styleId="af9">
    <w:name w:val="Title"/>
    <w:basedOn w:val="a"/>
    <w:next w:val="a"/>
    <w:link w:val="afa"/>
    <w:qFormat/>
    <w:rsid w:val="00083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083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b">
    <w:name w:val="Table Grid"/>
    <w:basedOn w:val="a1"/>
    <w:uiPriority w:val="59"/>
    <w:rsid w:val="0008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083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083FA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21"/>
    <w:semiHidden/>
    <w:rsid w:val="00F72521"/>
  </w:style>
  <w:style w:type="numbering" w:customStyle="1" w:styleId="110">
    <w:name w:val="Нет списка11"/>
    <w:next w:val="a2"/>
    <w:uiPriority w:val="99"/>
    <w:semiHidden/>
    <w:unhideWhenUsed/>
    <w:rsid w:val="00F72521"/>
  </w:style>
  <w:style w:type="table" w:customStyle="1" w:styleId="410">
    <w:name w:val="Сетка таблицы41"/>
    <w:basedOn w:val="a1"/>
    <w:next w:val="afb"/>
    <w:rsid w:val="00F7252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16161611110110110110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2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1313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414141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1111111111515151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12121212121212111616161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131313131313111717171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14141414111818181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aseline="0"/>
            </a:pPr>
            <a:r>
              <a:rPr lang="ru-RU"/>
              <a:t>Фактическое исполнение бюджета по налоговым  платежам 2017 года</a:t>
            </a:r>
          </a:p>
        </c:rich>
      </c:tx>
      <c:layout>
        <c:manualLayout>
          <c:xMode val="edge"/>
          <c:yMode val="edge"/>
          <c:x val="3.9121239652735715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245989722748688E-2"/>
          <c:y val="0.14488677612106998"/>
          <c:w val="0.82950802055450268"/>
          <c:h val="0.75515859719662703"/>
        </c:manualLayout>
      </c:layout>
      <c:pie3DChart>
        <c:varyColors val="1"/>
        <c:ser>
          <c:idx val="0"/>
          <c:order val="0"/>
          <c:tx>
            <c:strRef>
              <c:f>Лист1!$J$83</c:f>
              <c:strCache>
                <c:ptCount val="1"/>
                <c:pt idx="0">
                  <c:v>Фактическое исполнение бюджета по налоговым и неналоговым платежам 2017 года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0"/>
              <c:layout>
                <c:manualLayout>
                  <c:x val="-6.4136825227151259E-3"/>
                  <c:y val="0.120441166210777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
69,7%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162762130502631"/>
                  <c:y val="5.59755030621172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единый с/х налог
1,9%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 
2,7%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3817719900397066E-2"/>
                  <c:y val="-6.9166594560295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
12,3%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8.2623662426812031E-2"/>
                  <c:y val="-2.14384259659850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государственная пошлина
1,2%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20167793929604952"/>
                  <c:y val="-2.67904011998500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налоговые доходы
5,2%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Лист1!$K$82:$Q$82</c:f>
              <c:strCache>
                <c:ptCount val="7"/>
                <c:pt idx="0">
                  <c:v>налог на доходы </c:v>
                </c:pt>
                <c:pt idx="1">
                  <c:v>ЕНВД</c:v>
                </c:pt>
                <c:pt idx="2">
                  <c:v>единый с/х налог</c:v>
                </c:pt>
                <c:pt idx="3">
                  <c:v>налог на имущество физических лиц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Прочие налоговые доходы</c:v>
                </c:pt>
              </c:strCache>
            </c:strRef>
          </c:cat>
          <c:val>
            <c:numRef>
              <c:f>Лист1!$K$83:$Q$83</c:f>
              <c:numCache>
                <c:formatCode>0.0</c:formatCode>
                <c:ptCount val="7"/>
                <c:pt idx="0">
                  <c:v>461320308.33999997</c:v>
                </c:pt>
                <c:pt idx="1">
                  <c:v>46410613.659999996</c:v>
                </c:pt>
                <c:pt idx="2">
                  <c:v>12834201.85</c:v>
                </c:pt>
                <c:pt idx="3">
                  <c:v>17666145.629999999</c:v>
                </c:pt>
                <c:pt idx="4">
                  <c:v>81744893.5</c:v>
                </c:pt>
                <c:pt idx="5">
                  <c:v>7838980.46</c:v>
                </c:pt>
                <c:pt idx="6" formatCode="0">
                  <c:v>34418879.299999997</c:v>
                </c:pt>
              </c:numCache>
            </c:numRef>
          </c:val>
        </c:ser>
        <c:ser>
          <c:idx val="1"/>
          <c:order val="1"/>
          <c:tx>
            <c:strRef>
              <c:f>Лист1!$J$84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cat>
            <c:strRef>
              <c:f>Лист1!$K$82:$Q$82</c:f>
              <c:strCache>
                <c:ptCount val="7"/>
                <c:pt idx="0">
                  <c:v>налог на доходы </c:v>
                </c:pt>
                <c:pt idx="1">
                  <c:v>ЕНВД</c:v>
                </c:pt>
                <c:pt idx="2">
                  <c:v>единый с/х налог</c:v>
                </c:pt>
                <c:pt idx="3">
                  <c:v>налог на имущество физических лиц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Прочие налоговые доходы</c:v>
                </c:pt>
              </c:strCache>
            </c:strRef>
          </c:cat>
          <c:val>
            <c:numRef>
              <c:f>Лист1!$K$84:$Q$84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Пенсионное обеспечение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6468.7</c:v>
                </c:pt>
                <c:pt idx="1">
                  <c:v>7146.9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Социальное обеспечение населения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65927.8</c:v>
                </c:pt>
                <c:pt idx="1">
                  <c:v>64978.5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Охрана семьи и детства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29636048526862E-2"/>
                  <c:y val="-3.956478733926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240740740740741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42563.5</c:v>
                </c:pt>
                <c:pt idx="1">
                  <c:v>34527.699999999997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167808"/>
        <c:axId val="30169344"/>
        <c:axId val="30039552"/>
      </c:bar3DChart>
      <c:catAx>
        <c:axId val="3016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30169344"/>
        <c:crosses val="autoZero"/>
        <c:auto val="1"/>
        <c:lblAlgn val="ctr"/>
        <c:lblOffset val="100"/>
        <c:noMultiLvlLbl val="0"/>
      </c:catAx>
      <c:valAx>
        <c:axId val="3016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67808"/>
        <c:crosses val="autoZero"/>
        <c:crossBetween val="between"/>
      </c:valAx>
      <c:serAx>
        <c:axId val="3003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30169344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51048951048951"/>
          <c:y val="0.23853211009174313"/>
          <c:w val="0.21153846153846154"/>
          <c:h val="0.2201834862385321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3198428867720216E-2"/>
                  <c:y val="2.88275662789857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и неналоговые  доходы города
51,9%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-7.344566194959895E-2"/>
                  <c:y val="0.202678610127862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и безвозвратные поступления 
48,1%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Лист1!$E$18:$G$18</c:f>
              <c:strCache>
                <c:ptCount val="3"/>
                <c:pt idx="0">
                  <c:v>Налоговые и неналоговые  доходы города</c:v>
                </c:pt>
                <c:pt idx="2">
                  <c:v>Безвозмездные и безвозвратные поступления </c:v>
                </c:pt>
              </c:strCache>
            </c:strRef>
          </c:cat>
          <c:val>
            <c:numRef>
              <c:f>Лист1!$E$19:$G$19</c:f>
              <c:numCache>
                <c:formatCode>General</c:formatCode>
                <c:ptCount val="3"/>
                <c:pt idx="0">
                  <c:v>807089.2</c:v>
                </c:pt>
                <c:pt idx="2">
                  <c:v>725359.3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8356643356643357"/>
          <c:y val="0.72935779816513757"/>
          <c:w val="0.81643356643356646"/>
          <c:h val="8.643887403982758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985691573926868"/>
          <c:y val="4.7765829465576143E-2"/>
          <c:w val="0.7678855325914149"/>
          <c:h val="0.650231614015262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Лист1!$J$76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Лист1!$K$75:$R$75</c:f>
              <c:strCache>
                <c:ptCount val="8"/>
                <c:pt idx="0">
                  <c:v>Налоговые доходы</c:v>
                </c:pt>
                <c:pt idx="1">
                  <c:v>налог на доходы </c:v>
                </c:pt>
                <c:pt idx="2">
                  <c:v>ЕНВД</c:v>
                </c:pt>
                <c:pt idx="3">
                  <c:v>единый с/х налог</c:v>
                </c:pt>
                <c:pt idx="4">
                  <c:v>налог на имущество физических лиц 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акцизы</c:v>
                </c:pt>
              </c:strCache>
            </c:strRef>
          </c:cat>
          <c:val>
            <c:numRef>
              <c:f>Лист1!$K$76:$R$76</c:f>
              <c:numCache>
                <c:formatCode>General</c:formatCode>
                <c:ptCount val="8"/>
                <c:pt idx="0">
                  <c:v>641854.19999999995</c:v>
                </c:pt>
                <c:pt idx="1">
                  <c:v>442284.7</c:v>
                </c:pt>
                <c:pt idx="2">
                  <c:v>49110.400000000001</c:v>
                </c:pt>
                <c:pt idx="3">
                  <c:v>11544.6</c:v>
                </c:pt>
                <c:pt idx="4">
                  <c:v>12543.8</c:v>
                </c:pt>
                <c:pt idx="5">
                  <c:v>79049.399999999994</c:v>
                </c:pt>
                <c:pt idx="6">
                  <c:v>6990.6</c:v>
                </c:pt>
                <c:pt idx="7" formatCode="0.0">
                  <c:v>37656.199999999997</c:v>
                </c:pt>
              </c:numCache>
            </c:numRef>
          </c:val>
        </c:ser>
        <c:ser>
          <c:idx val="1"/>
          <c:order val="1"/>
          <c:tx>
            <c:strRef>
              <c:f>Лист1!$J$77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Лист1!$K$75:$R$75</c:f>
              <c:strCache>
                <c:ptCount val="8"/>
                <c:pt idx="0">
                  <c:v>Налоговые доходы</c:v>
                </c:pt>
                <c:pt idx="1">
                  <c:v>налог на доходы </c:v>
                </c:pt>
                <c:pt idx="2">
                  <c:v>ЕНВД</c:v>
                </c:pt>
                <c:pt idx="3">
                  <c:v>единый с/х налог</c:v>
                </c:pt>
                <c:pt idx="4">
                  <c:v>налог на имущество физических лиц 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акцизы</c:v>
                </c:pt>
              </c:strCache>
            </c:strRef>
          </c:cat>
          <c:val>
            <c:numRef>
              <c:f>Лист1!$K$77:$R$77</c:f>
              <c:numCache>
                <c:formatCode>0.0</c:formatCode>
                <c:ptCount val="8"/>
                <c:pt idx="0" formatCode="0">
                  <c:v>662233.9</c:v>
                </c:pt>
                <c:pt idx="1">
                  <c:v>461320.3</c:v>
                </c:pt>
                <c:pt idx="2">
                  <c:v>46410.6</c:v>
                </c:pt>
                <c:pt idx="3">
                  <c:v>12834.2</c:v>
                </c:pt>
                <c:pt idx="4">
                  <c:v>17666.099999999999</c:v>
                </c:pt>
                <c:pt idx="5">
                  <c:v>81744.899999999994</c:v>
                </c:pt>
                <c:pt idx="6">
                  <c:v>7839</c:v>
                </c:pt>
                <c:pt idx="7" formatCode="General">
                  <c:v>30994.799999999999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38720"/>
        <c:axId val="29440256"/>
      </c:barChart>
      <c:catAx>
        <c:axId val="2943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440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440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4387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9411764705882354"/>
          <c:y val="0.95685742252008987"/>
          <c:w val="0.59618441971383151"/>
          <c:h val="3.389833058847339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Лист1!$R$82:$W$82</c:f>
              <c:strCache>
                <c:ptCount val="6"/>
                <c:pt idx="0">
                  <c:v>доходы получаемые в виде арендной или иной платы от передачи имущества </c:v>
                </c:pt>
                <c:pt idx="1">
                  <c:v> доходы от использования имущества</c:v>
                </c:pt>
                <c:pt idx="2">
                  <c:v> доходы от продажи материальных и нематериальных активов</c:v>
                </c:pt>
                <c:pt idx="3">
                  <c:v>доходы от перечисления части прибыли</c:v>
                </c:pt>
                <c:pt idx="4">
                  <c:v>доходы от оказания платных услуг</c:v>
                </c:pt>
                <c:pt idx="5">
                  <c:v>платежи при пользовании природными ресурсами</c:v>
                </c:pt>
              </c:strCache>
            </c:strRef>
          </c:cat>
          <c:val>
            <c:numRef>
              <c:f>Лист1!$R$83:$W$83</c:f>
              <c:numCache>
                <c:formatCode>0.0</c:formatCode>
                <c:ptCount val="6"/>
                <c:pt idx="0">
                  <c:v>73000</c:v>
                </c:pt>
                <c:pt idx="1">
                  <c:v>9642.1</c:v>
                </c:pt>
                <c:pt idx="2" formatCode="General">
                  <c:v>7532.2</c:v>
                </c:pt>
                <c:pt idx="3" formatCode="General">
                  <c:v>2004.3</c:v>
                </c:pt>
                <c:pt idx="4" formatCode="General">
                  <c:v>10955.2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Лист1!$R$82:$W$82</c:f>
              <c:strCache>
                <c:ptCount val="6"/>
                <c:pt idx="0">
                  <c:v>доходы получаемые в виде арендной или иной платы от передачи имущества </c:v>
                </c:pt>
                <c:pt idx="1">
                  <c:v> доходы от использования имущества</c:v>
                </c:pt>
                <c:pt idx="2">
                  <c:v> доходы от продажи материальных и нематериальных активов</c:v>
                </c:pt>
                <c:pt idx="3">
                  <c:v>доходы от перечисления части прибыли</c:v>
                </c:pt>
                <c:pt idx="4">
                  <c:v>доходы от оказания платных услуг</c:v>
                </c:pt>
                <c:pt idx="5">
                  <c:v>платежи при пользовании природными ресурсами</c:v>
                </c:pt>
              </c:strCache>
            </c:strRef>
          </c:cat>
          <c:val>
            <c:numRef>
              <c:f>Лист1!$R$84:$W$84</c:f>
              <c:numCache>
                <c:formatCode>General</c:formatCode>
                <c:ptCount val="6"/>
                <c:pt idx="5" formatCode="0">
                  <c:v>2505.5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754189068768309"/>
          <c:y val="9.7035327779501523E-2"/>
          <c:w val="0.32786931174059902"/>
          <c:h val="0.78436889955097067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258967629046371E-2"/>
          <c:y val="0.21157279921015459"/>
          <c:w val="0.53580353618588372"/>
          <c:h val="0.753080445949842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государственного и муниципального долга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11.62</c:v>
                </c:pt>
                <c:pt idx="1">
                  <c:v>0.76</c:v>
                </c:pt>
                <c:pt idx="2">
                  <c:v>5.18</c:v>
                </c:pt>
                <c:pt idx="3">
                  <c:v>8.91</c:v>
                </c:pt>
                <c:pt idx="4">
                  <c:v>58.29</c:v>
                </c:pt>
                <c:pt idx="5">
                  <c:v>6.51</c:v>
                </c:pt>
                <c:pt idx="6">
                  <c:v>7.06</c:v>
                </c:pt>
                <c:pt idx="7">
                  <c:v>1.0900000000000001</c:v>
                </c:pt>
                <c:pt idx="8">
                  <c:v>0.21</c:v>
                </c:pt>
                <c:pt idx="9">
                  <c:v>0.34</c:v>
                </c:pt>
                <c:pt idx="10">
                  <c:v>0.04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Функционирование высшего должностного лица  субъекта РФ и муниципальных образований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1199</c:v>
                </c:pt>
                <c:pt idx="1">
                  <c:v>1202.3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Функционирование законодательных (представительных) органов государственной власти и представительных органов муниципальных образований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1601.5</c:v>
                </c:pt>
                <c:pt idx="1">
                  <c:v>1642.4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Функционирование Правительства РФ, высших органовгосударственной власти субъектов РФ, местных администраций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60220.6</c:v>
                </c:pt>
                <c:pt idx="1">
                  <c:v>57823.1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Обеспечение деятельности финансовых, налоговых и таможенных органов и органов финансового (финансово-бюджетного) надзора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9257.9</c:v>
                </c:pt>
                <c:pt idx="1">
                  <c:v>9105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Другие общегосударственные вопросы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98895.2</c:v>
                </c:pt>
                <c:pt idx="1">
                  <c:v>102454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Обеспечение проведения выборов и референдумов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34549740093019E-2"/>
                  <c:y val="-1.4840624690972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0</c:v>
                </c:pt>
                <c:pt idx="1">
                  <c:v>3383.5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825664"/>
        <c:axId val="29827456"/>
        <c:axId val="27981120"/>
      </c:bar3DChart>
      <c:catAx>
        <c:axId val="2982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9827456"/>
        <c:crosses val="autoZero"/>
        <c:auto val="1"/>
        <c:lblAlgn val="ctr"/>
        <c:lblOffset val="100"/>
        <c:noMultiLvlLbl val="0"/>
      </c:catAx>
      <c:valAx>
        <c:axId val="2982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25664"/>
        <c:crosses val="autoZero"/>
        <c:crossBetween val="between"/>
      </c:valAx>
      <c:serAx>
        <c:axId val="27981120"/>
        <c:scaling>
          <c:orientation val="minMax"/>
        </c:scaling>
        <c:delete val="1"/>
        <c:axPos val="b"/>
        <c:majorTickMark val="out"/>
        <c:minorTickMark val="none"/>
        <c:tickLblPos val="nextTo"/>
        <c:crossAx val="29827456"/>
        <c:crosses val="autoZero"/>
      </c:serAx>
    </c:plotArea>
    <c:legend>
      <c:legendPos val="r"/>
      <c:layout>
        <c:manualLayout>
          <c:xMode val="edge"/>
          <c:yMode val="edge"/>
          <c:x val="0.6623483640107688"/>
          <c:y val="0.15131526855232483"/>
          <c:w val="0.33679466296272914"/>
          <c:h val="0.8486847861540477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Защита населения и территории от чрезвычайных ситуаций природного и техногенного характера, гражданская оборона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2933.2</c:v>
                </c:pt>
                <c:pt idx="1">
                  <c:v>4153.5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области национальной безопасности и правоохранительной деятельности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7147.3</c:v>
                </c:pt>
                <c:pt idx="1">
                  <c:v>7382.6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5506304"/>
        <c:axId val="65512192"/>
        <c:axId val="29860288"/>
      </c:bar3DChart>
      <c:catAx>
        <c:axId val="6550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65512192"/>
        <c:crosses val="autoZero"/>
        <c:auto val="1"/>
        <c:lblAlgn val="ctr"/>
        <c:lblOffset val="100"/>
        <c:noMultiLvlLbl val="0"/>
      </c:catAx>
      <c:valAx>
        <c:axId val="655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506304"/>
        <c:crosses val="autoZero"/>
        <c:crossBetween val="between"/>
      </c:valAx>
      <c:serAx>
        <c:axId val="29860288"/>
        <c:scaling>
          <c:orientation val="minMax"/>
        </c:scaling>
        <c:delete val="1"/>
        <c:axPos val="b"/>
        <c:majorTickMark val="out"/>
        <c:minorTickMark val="none"/>
        <c:tickLblPos val="nextTo"/>
        <c:crossAx val="655121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1922.2</c:v>
                </c:pt>
                <c:pt idx="1">
                  <c:v>1525.4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333333333333334E-2"/>
                  <c:y val="6.511627906976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40267.1</c:v>
                </c:pt>
                <c:pt idx="1">
                  <c:v>42198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57869</c:v>
                </c:pt>
                <c:pt idx="1">
                  <c:v>80999.3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 вопросы в области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33333333333333E-2"/>
                  <c:y val="-1.2403100775193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666666666666745E-2"/>
                  <c:y val="-9.3023255813953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9099.1</c:v>
                </c:pt>
                <c:pt idx="1">
                  <c:v>9903.1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5532672"/>
        <c:axId val="65535360"/>
        <c:axId val="29861184"/>
      </c:bar3DChart>
      <c:catAx>
        <c:axId val="6553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65535360"/>
        <c:crosses val="autoZero"/>
        <c:auto val="1"/>
        <c:lblAlgn val="ctr"/>
        <c:lblOffset val="100"/>
        <c:noMultiLvlLbl val="0"/>
      </c:catAx>
      <c:valAx>
        <c:axId val="6553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532672"/>
        <c:crosses val="autoZero"/>
        <c:crossBetween val="between"/>
      </c:valAx>
      <c:serAx>
        <c:axId val="29861184"/>
        <c:scaling>
          <c:orientation val="minMax"/>
        </c:scaling>
        <c:delete val="1"/>
        <c:axPos val="b"/>
        <c:majorTickMark val="out"/>
        <c:minorTickMark val="none"/>
        <c:tickLblPos val="nextTo"/>
        <c:crossAx val="65535360"/>
        <c:crosses val="autoZero"/>
      </c:ser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272924.09999999998</c:v>
                </c:pt>
                <c:pt idx="1">
                  <c:v>238520.8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образование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597427.6</c:v>
                </c:pt>
                <c:pt idx="1">
                  <c:v>503989.7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Молодежная политика и оздоровление детей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28566.2</c:v>
                </c:pt>
                <c:pt idx="1">
                  <c:v>28367.8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образования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777777777777776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32323.4</c:v>
                </c:pt>
                <c:pt idx="1">
                  <c:v>25167.1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Дополнительное образование детей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84980.6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6162048"/>
        <c:axId val="66172032"/>
        <c:axId val="30036416"/>
      </c:bar3DChart>
      <c:catAx>
        <c:axId val="6616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66172032"/>
        <c:crosses val="autoZero"/>
        <c:auto val="1"/>
        <c:lblAlgn val="ctr"/>
        <c:lblOffset val="100"/>
        <c:noMultiLvlLbl val="0"/>
      </c:catAx>
      <c:valAx>
        <c:axId val="6617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62048"/>
        <c:crosses val="autoZero"/>
        <c:crossBetween val="between"/>
      </c:valAx>
      <c:serAx>
        <c:axId val="3003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66172032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27E9-D349-46FF-84B6-39CDFE4B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38</Pages>
  <Words>13478</Words>
  <Characters>76825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49</cp:revision>
  <cp:lastPrinted>2018-05-14T07:46:00Z</cp:lastPrinted>
  <dcterms:created xsi:type="dcterms:W3CDTF">2018-05-07T13:39:00Z</dcterms:created>
  <dcterms:modified xsi:type="dcterms:W3CDTF">2018-05-24T12:59:00Z</dcterms:modified>
</cp:coreProperties>
</file>